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4ACFA" w14:textId="77777777" w:rsidR="00F73F8E" w:rsidRPr="00E52C57" w:rsidRDefault="00F73F8E" w:rsidP="00F73F8E">
      <w:pPr>
        <w:pStyle w:val="01Judul"/>
        <w:spacing w:before="0" w:after="0"/>
        <w:rPr>
          <w:rFonts w:ascii="Garamond" w:hAnsi="Garamond" w:cs="Segoe UI"/>
          <w:lang w:val="id-ID"/>
        </w:rPr>
      </w:pPr>
    </w:p>
    <w:p w14:paraId="79400FD8" w14:textId="3C16FA48" w:rsidR="00CD25F8" w:rsidRPr="00E52C57" w:rsidRDefault="00490776" w:rsidP="00CD25F8">
      <w:pPr>
        <w:snapToGrid w:val="0"/>
        <w:spacing w:after="0" w:line="240" w:lineRule="auto"/>
        <w:jc w:val="center"/>
        <w:rPr>
          <w:rFonts w:ascii="Garamond" w:hAnsi="Garamond" w:cs="Times New Roman"/>
          <w:b/>
          <w:sz w:val="28"/>
          <w:szCs w:val="24"/>
          <w:lang w:val="id-ID" w:eastAsia="ja-JP"/>
        </w:rPr>
      </w:pPr>
      <w:r w:rsidRPr="00490776">
        <w:rPr>
          <w:rFonts w:ascii="Garamond" w:hAnsi="Garamond"/>
          <w:b/>
          <w:color w:val="000000"/>
          <w:sz w:val="28"/>
          <w:szCs w:val="24"/>
        </w:rPr>
        <w:t>INDEPENDENT LEARNING</w:t>
      </w:r>
      <w:r>
        <w:rPr>
          <w:rFonts w:ascii="Garamond" w:hAnsi="Garamond"/>
          <w:b/>
          <w:color w:val="000000"/>
          <w:sz w:val="28"/>
          <w:szCs w:val="24"/>
        </w:rPr>
        <w:t xml:space="preserve"> CURRICULUM</w:t>
      </w:r>
      <w:r w:rsidRPr="00490776">
        <w:rPr>
          <w:rFonts w:ascii="Garamond" w:hAnsi="Garamond"/>
          <w:b/>
          <w:color w:val="000000"/>
          <w:sz w:val="28"/>
          <w:szCs w:val="24"/>
        </w:rPr>
        <w:t>: TEACHER AND MADRASAH READINESS IN BONE DISTRICT</w:t>
      </w:r>
      <w:r w:rsidR="00E00AC1" w:rsidRPr="00E52C57">
        <w:rPr>
          <w:rFonts w:ascii="Garamond" w:hAnsi="Garamond"/>
          <w:b/>
          <w:color w:val="000000"/>
          <w:sz w:val="28"/>
          <w:szCs w:val="24"/>
        </w:rPr>
        <w:t xml:space="preserve"> </w:t>
      </w:r>
    </w:p>
    <w:p w14:paraId="175D2112" w14:textId="77777777" w:rsidR="008E6CFE" w:rsidRPr="00E52C57" w:rsidRDefault="00FD49BD" w:rsidP="00FD49BD">
      <w:pPr>
        <w:tabs>
          <w:tab w:val="left" w:pos="5554"/>
        </w:tabs>
        <w:spacing w:after="0"/>
        <w:rPr>
          <w:rFonts w:ascii="Garamond" w:hAnsi="Garamond" w:cs="Times New Roman"/>
          <w:sz w:val="24"/>
          <w:szCs w:val="24"/>
        </w:rPr>
      </w:pPr>
      <w:r w:rsidRPr="00E52C57">
        <w:rPr>
          <w:rFonts w:ascii="Garamond" w:hAnsi="Garamond" w:cs="Times New Roman"/>
          <w:sz w:val="24"/>
          <w:szCs w:val="24"/>
        </w:rPr>
        <w:tab/>
      </w:r>
    </w:p>
    <w:p w14:paraId="6ACA7751" w14:textId="77777777" w:rsidR="008A13BC" w:rsidRPr="00E52C57" w:rsidRDefault="008A13BC" w:rsidP="00EC4287">
      <w:pPr>
        <w:spacing w:after="0" w:line="240" w:lineRule="auto"/>
        <w:jc w:val="center"/>
        <w:rPr>
          <w:rFonts w:ascii="Garamond" w:hAnsi="Garamond" w:cs="Times New Roman"/>
          <w:b/>
          <w:bCs/>
          <w:sz w:val="24"/>
          <w:szCs w:val="24"/>
        </w:rPr>
      </w:pPr>
    </w:p>
    <w:p w14:paraId="41FC1D72" w14:textId="77777777" w:rsidR="00F90845" w:rsidRPr="00E52C57" w:rsidRDefault="00F90845" w:rsidP="00BE6C9C">
      <w:pPr>
        <w:spacing w:after="0"/>
        <w:rPr>
          <w:rFonts w:ascii="Garamond" w:hAnsi="Garamond" w:cs="Times New Roman"/>
          <w:b/>
          <w:bCs/>
          <w:sz w:val="24"/>
          <w:szCs w:val="24"/>
          <w:lang w:val="id-ID"/>
        </w:rPr>
      </w:pPr>
    </w:p>
    <w:p w14:paraId="00028525" w14:textId="77777777" w:rsidR="00BE6C9C" w:rsidRPr="00E52C57" w:rsidRDefault="00BE6C9C" w:rsidP="00BE6C9C">
      <w:pPr>
        <w:spacing w:after="0"/>
        <w:rPr>
          <w:rFonts w:ascii="Garamond" w:hAnsi="Garamond" w:cs="Times New Roman"/>
          <w:b/>
          <w:bCs/>
          <w:sz w:val="24"/>
          <w:szCs w:val="24"/>
          <w:lang w:val="id-ID"/>
        </w:rPr>
      </w:pPr>
    </w:p>
    <w:p w14:paraId="7BBA910A" w14:textId="77777777" w:rsidR="00540D17" w:rsidRPr="00E52C57" w:rsidRDefault="00540D17" w:rsidP="00BE6C9C">
      <w:pPr>
        <w:spacing w:after="0"/>
        <w:jc w:val="center"/>
        <w:rPr>
          <w:rFonts w:ascii="Garamond" w:hAnsi="Garamond" w:cs="Times New Roman"/>
          <w:b/>
          <w:bCs/>
          <w:i/>
          <w:iCs/>
          <w:sz w:val="24"/>
          <w:szCs w:val="24"/>
        </w:rPr>
      </w:pPr>
      <w:r w:rsidRPr="00E52C57">
        <w:rPr>
          <w:rFonts w:ascii="Garamond" w:hAnsi="Garamond" w:cs="Times New Roman"/>
          <w:b/>
          <w:bCs/>
          <w:i/>
          <w:iCs/>
          <w:sz w:val="24"/>
          <w:szCs w:val="24"/>
        </w:rPr>
        <w:t>Abstract</w:t>
      </w:r>
    </w:p>
    <w:p w14:paraId="6CB73ED4" w14:textId="25A7C5BF" w:rsidR="00AD7CE2" w:rsidRPr="00AD7CE2" w:rsidRDefault="00CD25F8" w:rsidP="000123CA">
      <w:pPr>
        <w:shd w:val="clear" w:color="auto" w:fill="FDFDFD"/>
        <w:ind w:left="567"/>
        <w:jc w:val="both"/>
        <w:rPr>
          <w:rFonts w:ascii="Garamond" w:hAnsi="Garamond" w:cs="Times New Roman"/>
          <w:i/>
          <w:color w:val="000000"/>
          <w:lang w:val="id-ID" w:eastAsia="ja-JP"/>
        </w:rPr>
      </w:pPr>
      <w:r w:rsidRPr="00E52C57">
        <w:rPr>
          <w:rStyle w:val="ShortAbstract"/>
          <w:rFonts w:ascii="Garamond" w:eastAsia="MS Mincho" w:hAnsi="Garamond"/>
          <w:i/>
          <w:color w:val="000000"/>
        </w:rPr>
        <w:t>This study aims to determine the madrasah readiness in implementing the Independent Learning Curriculum (Kurikulum Merdeka Belajar). The research applies a mixed-method approach, specifically a combination of qualitative and quantitative research with the concurrent triangulation strategy model. Data collection techniques involve interviews, questionnaires, and documentation. The research findings are as follows: 1) Teachers' readiness in implementing the Independent Learning Curriculum, encompassing dimensions such as a) teachers' knowledge falls into the "ready" category; b) self-development efforts are categorized as "ready"; and c) teachers' readiness in teaching is also categorized as "ready." Therefore, we can conclude that, overall, teachers fall into the "ready" category. 2) The readiness of facilities and infrastructure at MTsN 1 Bone in implementing the Independent Learning Curriculum, which includes the following dimensions: a) Capacity and capacity in “ready” category; b) Learning facilities and infrastructure in “ready” category; c) Supporting facilities and infrastructure in “ready” category.</w:t>
      </w:r>
      <w:r w:rsidR="00AD7CE2">
        <w:rPr>
          <w:rStyle w:val="ShortAbstract"/>
          <w:rFonts w:ascii="Garamond" w:eastAsia="MS Mincho" w:hAnsi="Garamond"/>
          <w:i/>
          <w:color w:val="000000"/>
        </w:rPr>
        <w:t xml:space="preserve"> </w:t>
      </w:r>
      <w:r w:rsidR="00AD7CE2" w:rsidRPr="00AD7CE2">
        <w:rPr>
          <w:rFonts w:ascii="Garamond" w:hAnsi="Garamond" w:cs="Times New Roman"/>
          <w:i/>
          <w:color w:val="000000"/>
          <w:lang w:val="id-ID" w:eastAsia="ja-JP"/>
        </w:rPr>
        <w:t>The results of research on the Independent Learning Curriculum have made an important contribution in understanding the effectiveness, factors that influence success, and effective implementation models of the Independent Learning Curriculum. The contribution of this research is also useful for the government, schools, and teachers in implementing the Independent Curriculum effectively and achieving the expected educational goals, especially at the Madrasah level</w:t>
      </w:r>
      <w:r w:rsidR="00AD7CE2">
        <w:rPr>
          <w:rFonts w:ascii="Garamond" w:hAnsi="Garamond" w:cs="Times New Roman"/>
          <w:i/>
          <w:color w:val="000000"/>
          <w:lang w:val="id-ID" w:eastAsia="ja-JP"/>
        </w:rPr>
        <w:t>.</w:t>
      </w:r>
    </w:p>
    <w:p w14:paraId="26422351" w14:textId="4CF22FDE" w:rsidR="00CD25F8" w:rsidRPr="00E52C57" w:rsidRDefault="00CD25F8" w:rsidP="00CD25F8">
      <w:pPr>
        <w:snapToGrid w:val="0"/>
        <w:spacing w:after="0" w:line="240" w:lineRule="auto"/>
        <w:ind w:left="567" w:right="-23"/>
        <w:jc w:val="both"/>
        <w:rPr>
          <w:rFonts w:ascii="Garamond" w:hAnsi="Garamond" w:cs="Times New Roman"/>
          <w:i/>
          <w:color w:val="000000"/>
          <w:lang w:val="id-ID" w:eastAsia="ja-JP"/>
        </w:rPr>
      </w:pPr>
    </w:p>
    <w:p w14:paraId="0841D31A" w14:textId="58E15DF8" w:rsidR="00CD25F8" w:rsidRPr="00E52C57" w:rsidRDefault="00540D17" w:rsidP="00CD25F8">
      <w:pPr>
        <w:tabs>
          <w:tab w:val="left" w:pos="8460"/>
        </w:tabs>
        <w:snapToGrid w:val="0"/>
        <w:spacing w:after="0" w:line="240" w:lineRule="auto"/>
        <w:ind w:right="612"/>
        <w:jc w:val="both"/>
        <w:rPr>
          <w:rFonts w:ascii="Garamond" w:hAnsi="Garamond"/>
          <w:i/>
          <w:color w:val="000000"/>
        </w:rPr>
      </w:pPr>
      <w:r w:rsidRPr="00E52C57">
        <w:rPr>
          <w:rFonts w:ascii="Garamond" w:hAnsi="Garamond" w:cs="Times New Roman"/>
          <w:b/>
          <w:bCs/>
          <w:i/>
          <w:iCs/>
          <w:sz w:val="24"/>
          <w:szCs w:val="24"/>
        </w:rPr>
        <w:t>Keywords:</w:t>
      </w:r>
      <w:r w:rsidRPr="00E52C57">
        <w:rPr>
          <w:rFonts w:ascii="Garamond" w:hAnsi="Garamond" w:cs="Times New Roman"/>
          <w:i/>
          <w:iCs/>
          <w:sz w:val="24"/>
          <w:szCs w:val="24"/>
        </w:rPr>
        <w:t xml:space="preserve"> </w:t>
      </w:r>
      <w:r w:rsidR="00CD25F8" w:rsidRPr="00E52C57">
        <w:rPr>
          <w:rFonts w:ascii="Garamond" w:hAnsi="Garamond"/>
          <w:i/>
          <w:color w:val="000000"/>
        </w:rPr>
        <w:t xml:space="preserve">Madrasah Readiness, Independent Learning Curriculum </w:t>
      </w:r>
    </w:p>
    <w:p w14:paraId="30BEA91F" w14:textId="77777777" w:rsidR="00CD25F8" w:rsidRPr="00E52C57" w:rsidRDefault="00CD25F8" w:rsidP="00CD25F8">
      <w:pPr>
        <w:pStyle w:val="NormalWeb"/>
        <w:spacing w:before="279" w:beforeAutospacing="0" w:after="0" w:afterAutospacing="0"/>
        <w:jc w:val="center"/>
        <w:rPr>
          <w:rFonts w:ascii="Garamond" w:hAnsi="Garamond"/>
        </w:rPr>
      </w:pPr>
      <w:r w:rsidRPr="00E52C57">
        <w:rPr>
          <w:rFonts w:ascii="Garamond" w:hAnsi="Garamond"/>
          <w:b/>
          <w:bCs/>
          <w:color w:val="000000"/>
        </w:rPr>
        <w:t>Abstrak </w:t>
      </w:r>
    </w:p>
    <w:p w14:paraId="17CB453F" w14:textId="17A00856" w:rsidR="00CD25F8" w:rsidRDefault="00CD25F8" w:rsidP="00CD25F8">
      <w:pPr>
        <w:pStyle w:val="NormalWeb"/>
        <w:spacing w:before="0" w:beforeAutospacing="0" w:after="0" w:afterAutospacing="0"/>
        <w:ind w:left="567" w:right="-9" w:firstLine="15"/>
        <w:jc w:val="both"/>
        <w:rPr>
          <w:rFonts w:ascii="Garamond" w:hAnsi="Garamond"/>
          <w:color w:val="000000"/>
          <w:sz w:val="22"/>
          <w:szCs w:val="22"/>
        </w:rPr>
      </w:pPr>
      <w:r w:rsidRPr="00E52C57">
        <w:rPr>
          <w:rFonts w:ascii="Garamond" w:hAnsi="Garamond"/>
          <w:color w:val="000000"/>
          <w:sz w:val="22"/>
          <w:szCs w:val="22"/>
        </w:rPr>
        <w:t>Penelitian ini bertujuan untuk mengetahui kesiapan madrasah dalam menerapkan Kurikulum Merdeka Belajar (Kurikulum Merdeka Belajar). Penelitian ini menggunakan pendekatan mixed-method yaitu gabungan penelitian kualitatif dan kuantitatif dengan model strategi triangulasi konkuren. Teknik pengumpulan data meliputi wawancara, angket, dan dokumentasi. Temuan penelitian adalah sebagai berikut: 1) Kesiapan guru dalam melaksanakan Kurikulum Merdeka Belajar, meliputi dimensi seperti a) pengetahuan guru masuk dalam kategori “siap”; b) upaya pengembangan diri dikategorikan “siap”; dan c) kesiapan guru dalam mengajar juga dikategorikan “siap”. Oleh karena itu, dapat disimpulkan bahwa secara keseluruhan guru masuk dalam kategori “siap”. 2) Kesiapan sarana dan prasarana MTsN 1 Bone dalam melaksanakan Kurikulum Merdeka Belajar, yang meliputi dimensi sebagai berikut: a) Daya tampung dan kapasitas dalam kategori “siap”; b) Sarana dan prasarana pembelajaran dalam kategori “siap”; c) Sarana dan prasarana pendukung dalam kategori “siap”.</w:t>
      </w:r>
      <w:r w:rsidR="00AD7CE2">
        <w:rPr>
          <w:rFonts w:ascii="Garamond" w:hAnsi="Garamond"/>
          <w:color w:val="000000"/>
          <w:sz w:val="22"/>
          <w:szCs w:val="22"/>
        </w:rPr>
        <w:t xml:space="preserve"> </w:t>
      </w:r>
      <w:bookmarkStart w:id="0" w:name="_Hlk162468825"/>
      <w:r w:rsidR="00AD7CE2">
        <w:rPr>
          <w:rFonts w:ascii="Garamond" w:hAnsi="Garamond"/>
          <w:color w:val="000000"/>
          <w:sz w:val="22"/>
          <w:szCs w:val="22"/>
        </w:rPr>
        <w:t xml:space="preserve">Hasil </w:t>
      </w:r>
      <w:r w:rsidR="00AD7CE2" w:rsidRPr="00AD7CE2">
        <w:rPr>
          <w:rFonts w:ascii="Garamond" w:hAnsi="Garamond"/>
          <w:color w:val="000000"/>
          <w:sz w:val="22"/>
          <w:szCs w:val="22"/>
        </w:rPr>
        <w:t xml:space="preserve">Penelitian tentang Kurikulum Merdeka </w:t>
      </w:r>
      <w:r w:rsidR="00AD7CE2">
        <w:rPr>
          <w:rFonts w:ascii="Garamond" w:hAnsi="Garamond"/>
          <w:color w:val="000000"/>
          <w:sz w:val="22"/>
          <w:szCs w:val="22"/>
        </w:rPr>
        <w:t xml:space="preserve">belajar </w:t>
      </w:r>
      <w:r w:rsidR="00AD7CE2" w:rsidRPr="00AD7CE2">
        <w:rPr>
          <w:rFonts w:ascii="Garamond" w:hAnsi="Garamond"/>
          <w:color w:val="000000"/>
          <w:sz w:val="22"/>
          <w:szCs w:val="22"/>
        </w:rPr>
        <w:t>telah memberikan kontribusi penting dalam memahami efektivitas, faktor-faktor yang mempengaruhi keberhasilan, dan model implementasi Kurikulum Merdeka</w:t>
      </w:r>
      <w:r w:rsidR="00AD7CE2">
        <w:rPr>
          <w:rFonts w:ascii="Garamond" w:hAnsi="Garamond"/>
          <w:color w:val="000000"/>
          <w:sz w:val="22"/>
          <w:szCs w:val="22"/>
        </w:rPr>
        <w:t xml:space="preserve"> belajar</w:t>
      </w:r>
      <w:r w:rsidR="00AD7CE2" w:rsidRPr="00AD7CE2">
        <w:rPr>
          <w:rFonts w:ascii="Garamond" w:hAnsi="Garamond"/>
          <w:color w:val="000000"/>
          <w:sz w:val="22"/>
          <w:szCs w:val="22"/>
        </w:rPr>
        <w:t xml:space="preserve"> yang efektif. Kontribusi penelitian ini </w:t>
      </w:r>
      <w:r w:rsidR="00AD7CE2">
        <w:rPr>
          <w:rFonts w:ascii="Garamond" w:hAnsi="Garamond"/>
          <w:color w:val="000000"/>
          <w:sz w:val="22"/>
          <w:szCs w:val="22"/>
        </w:rPr>
        <w:t xml:space="preserve">juga </w:t>
      </w:r>
      <w:r w:rsidR="00AD7CE2" w:rsidRPr="00AD7CE2">
        <w:rPr>
          <w:rFonts w:ascii="Garamond" w:hAnsi="Garamond"/>
          <w:color w:val="000000"/>
          <w:sz w:val="22"/>
          <w:szCs w:val="22"/>
        </w:rPr>
        <w:t>bermanfaat bagi pemerintah, sekolah, dan guru dalam mengimplementasikan Kurikulum Merdeka</w:t>
      </w:r>
      <w:r w:rsidR="00AD7CE2">
        <w:rPr>
          <w:rFonts w:ascii="Garamond" w:hAnsi="Garamond"/>
          <w:color w:val="000000"/>
          <w:sz w:val="22"/>
          <w:szCs w:val="22"/>
        </w:rPr>
        <w:t xml:space="preserve"> belajar</w:t>
      </w:r>
      <w:r w:rsidR="00AD7CE2" w:rsidRPr="00AD7CE2">
        <w:rPr>
          <w:rFonts w:ascii="Garamond" w:hAnsi="Garamond"/>
          <w:color w:val="000000"/>
          <w:sz w:val="22"/>
          <w:szCs w:val="22"/>
        </w:rPr>
        <w:t xml:space="preserve"> secara efektif dan mencapai tujuan pendidikan yang diharapkan</w:t>
      </w:r>
      <w:r w:rsidR="00AD7CE2">
        <w:rPr>
          <w:rFonts w:ascii="Garamond" w:hAnsi="Garamond"/>
          <w:color w:val="000000"/>
          <w:sz w:val="22"/>
          <w:szCs w:val="22"/>
        </w:rPr>
        <w:t xml:space="preserve"> khususnya pada tingkat Madrasah</w:t>
      </w:r>
      <w:r w:rsidR="00AD7CE2" w:rsidRPr="00AD7CE2">
        <w:rPr>
          <w:rFonts w:ascii="Garamond" w:hAnsi="Garamond"/>
          <w:color w:val="000000"/>
          <w:sz w:val="22"/>
          <w:szCs w:val="22"/>
        </w:rPr>
        <w:t>.</w:t>
      </w:r>
    </w:p>
    <w:bookmarkEnd w:id="0"/>
    <w:p w14:paraId="7A0ED253" w14:textId="77777777" w:rsidR="000123CA" w:rsidRPr="00E52C57" w:rsidRDefault="000123CA" w:rsidP="00CD25F8">
      <w:pPr>
        <w:pStyle w:val="NormalWeb"/>
        <w:spacing w:before="0" w:beforeAutospacing="0" w:after="0" w:afterAutospacing="0"/>
        <w:ind w:left="567" w:right="-9" w:firstLine="15"/>
        <w:jc w:val="both"/>
        <w:rPr>
          <w:rFonts w:ascii="Garamond" w:hAnsi="Garamond"/>
          <w:color w:val="000000"/>
          <w:sz w:val="22"/>
          <w:szCs w:val="22"/>
        </w:rPr>
      </w:pPr>
    </w:p>
    <w:p w14:paraId="05F08D90" w14:textId="4B15D4D7" w:rsidR="00CD25F8" w:rsidRPr="00E52C57" w:rsidRDefault="00CD25F8" w:rsidP="00CD25F8">
      <w:pPr>
        <w:pStyle w:val="NormalWeb"/>
        <w:spacing w:before="0" w:beforeAutospacing="0" w:after="0" w:afterAutospacing="0"/>
        <w:ind w:right="-9"/>
        <w:jc w:val="both"/>
        <w:rPr>
          <w:rFonts w:ascii="Garamond" w:hAnsi="Garamond"/>
          <w:b/>
          <w:bCs/>
        </w:rPr>
      </w:pPr>
      <w:r w:rsidRPr="00E52C57">
        <w:rPr>
          <w:rFonts w:ascii="Garamond" w:hAnsi="Garamond"/>
          <w:b/>
          <w:bCs/>
          <w:i/>
          <w:iCs/>
          <w:color w:val="000000"/>
          <w:sz w:val="22"/>
          <w:szCs w:val="22"/>
        </w:rPr>
        <w:t xml:space="preserve">Kata Kunci: </w:t>
      </w:r>
      <w:r w:rsidRPr="00E52C57">
        <w:rPr>
          <w:rFonts w:ascii="Garamond" w:hAnsi="Garamond"/>
          <w:i/>
          <w:iCs/>
          <w:color w:val="000000"/>
          <w:sz w:val="22"/>
          <w:szCs w:val="22"/>
        </w:rPr>
        <w:t>Kesiapan Madrasah, Kurikulum Merdeka Belajar</w:t>
      </w:r>
    </w:p>
    <w:p w14:paraId="58DED34D" w14:textId="77777777" w:rsidR="00CD25F8" w:rsidRPr="00E52C57" w:rsidRDefault="00CD25F8" w:rsidP="00CD25F8">
      <w:pPr>
        <w:tabs>
          <w:tab w:val="left" w:pos="8460"/>
        </w:tabs>
        <w:snapToGrid w:val="0"/>
        <w:spacing w:after="0" w:line="240" w:lineRule="auto"/>
        <w:ind w:right="612"/>
        <w:jc w:val="center"/>
        <w:rPr>
          <w:rFonts w:ascii="Garamond" w:hAnsi="Garamond" w:cs="Times New Roman"/>
          <w:iCs/>
          <w:color w:val="000000"/>
          <w:lang w:eastAsia="ja-JP"/>
        </w:rPr>
      </w:pPr>
    </w:p>
    <w:p w14:paraId="04F0E2C3" w14:textId="604C4F94" w:rsidR="00C86551" w:rsidRPr="00E52C57" w:rsidRDefault="00C86551" w:rsidP="00CD25F8">
      <w:pPr>
        <w:spacing w:after="0" w:line="240" w:lineRule="auto"/>
        <w:jc w:val="both"/>
        <w:rPr>
          <w:rFonts w:ascii="Garamond" w:hAnsi="Garamond" w:cs="Times New Roman"/>
          <w:b/>
          <w:bCs/>
          <w:sz w:val="24"/>
          <w:szCs w:val="24"/>
          <w:lang w:val="id-ID"/>
        </w:rPr>
      </w:pPr>
    </w:p>
    <w:p w14:paraId="1E54FE85" w14:textId="77777777" w:rsidR="000123CA" w:rsidRDefault="000123CA">
      <w:pPr>
        <w:rPr>
          <w:rFonts w:ascii="Garamond" w:hAnsi="Garamond"/>
          <w:b/>
          <w:sz w:val="24"/>
          <w:szCs w:val="24"/>
        </w:rPr>
      </w:pPr>
      <w:r>
        <w:rPr>
          <w:rFonts w:ascii="Garamond" w:hAnsi="Garamond"/>
          <w:b/>
          <w:sz w:val="24"/>
          <w:szCs w:val="24"/>
        </w:rPr>
        <w:br w:type="page"/>
      </w:r>
    </w:p>
    <w:p w14:paraId="28381454" w14:textId="3785AD45" w:rsidR="000B04BA" w:rsidRPr="00E52C57" w:rsidRDefault="000B04BA" w:rsidP="000B04BA">
      <w:pPr>
        <w:spacing w:after="0" w:line="240" w:lineRule="auto"/>
        <w:jc w:val="both"/>
        <w:rPr>
          <w:rFonts w:ascii="Garamond" w:hAnsi="Garamond"/>
          <w:b/>
          <w:sz w:val="24"/>
          <w:szCs w:val="24"/>
          <w:lang w:val="id-ID"/>
        </w:rPr>
      </w:pPr>
      <w:r w:rsidRPr="00E52C57">
        <w:rPr>
          <w:rFonts w:ascii="Garamond" w:hAnsi="Garamond"/>
          <w:b/>
          <w:sz w:val="24"/>
          <w:szCs w:val="24"/>
        </w:rPr>
        <w:lastRenderedPageBreak/>
        <w:t>INTRODUCTION</w:t>
      </w:r>
    </w:p>
    <w:p w14:paraId="27BC0591" w14:textId="354DCC45" w:rsidR="00BD1BF3" w:rsidRPr="00E52C57" w:rsidRDefault="00132381" w:rsidP="004A2459">
      <w:pPr>
        <w:spacing w:after="0" w:line="360" w:lineRule="auto"/>
        <w:ind w:firstLine="720"/>
        <w:jc w:val="both"/>
        <w:rPr>
          <w:rFonts w:ascii="Garamond" w:hAnsi="Garamond" w:cstheme="majorBidi"/>
          <w:sz w:val="24"/>
          <w:szCs w:val="24"/>
        </w:rPr>
      </w:pPr>
      <w:r w:rsidRPr="00E52C57">
        <w:rPr>
          <w:rFonts w:ascii="Garamond" w:hAnsi="Garamond" w:cstheme="majorBidi"/>
          <w:sz w:val="24"/>
          <w:szCs w:val="24"/>
        </w:rPr>
        <w:t>One important element in determining the direction and goals of education is the curriculum.</w:t>
      </w:r>
      <w:r>
        <w:rPr>
          <w:rStyle w:val="FootnoteReference"/>
          <w:rFonts w:ascii="Garamond" w:hAnsi="Garamond"/>
          <w:sz w:val="24"/>
          <w:szCs w:val="24"/>
        </w:rPr>
        <w:footnoteReference w:id="1"/>
      </w:r>
      <w:r w:rsidRPr="00E52C57">
        <w:rPr>
          <w:rFonts w:ascii="Garamond" w:hAnsi="Garamond" w:cstheme="majorBidi"/>
          <w:sz w:val="24"/>
          <w:szCs w:val="24"/>
        </w:rPr>
        <w:t xml:space="preserve"> Minister of Education, Culture, Research, and Technology Nadiem Makarim has introduced a new curriculum known as the Merdeka </w:t>
      </w:r>
      <w:r w:rsidRPr="00E52C57">
        <w:rPr>
          <w:rFonts w:ascii="Garamond" w:hAnsi="Garamond" w:cstheme="majorBidi"/>
          <w:i/>
          <w:iCs/>
          <w:sz w:val="24"/>
          <w:szCs w:val="24"/>
        </w:rPr>
        <w:t>Belajar Curriculum</w:t>
      </w:r>
      <w:r w:rsidRPr="00E52C57">
        <w:rPr>
          <w:rFonts w:ascii="Garamond" w:hAnsi="Garamond" w:cstheme="majorBidi"/>
          <w:sz w:val="24"/>
          <w:szCs w:val="24"/>
        </w:rPr>
        <w:t>, which will be implemented in 2022 optionally. Currently, the Merdeka Belajar Curriculum has undergone a pilot phase in 2,500 schools participating in the school/madrasah movement program and 895 vocational high schools (SMK) in the Center of Excellence. However, in fact, the implementation of this curriculum has elicited various responses from the community and educational institutions.</w:t>
      </w:r>
      <w:r>
        <w:rPr>
          <w:rStyle w:val="FootnoteReference"/>
          <w:rFonts w:ascii="Garamond" w:hAnsi="Garamond"/>
          <w:sz w:val="24"/>
          <w:szCs w:val="24"/>
        </w:rPr>
        <w:footnoteReference w:id="2"/>
      </w:r>
    </w:p>
    <w:p w14:paraId="27EA295A" w14:textId="3589D28D" w:rsidR="000919D2" w:rsidRPr="00E52C57" w:rsidRDefault="007F650D" w:rsidP="001367A0">
      <w:pPr>
        <w:spacing w:after="0" w:line="360" w:lineRule="auto"/>
        <w:ind w:firstLine="720"/>
        <w:jc w:val="both"/>
        <w:rPr>
          <w:rFonts w:ascii="Garamond" w:hAnsi="Garamond" w:cstheme="majorBidi"/>
          <w:sz w:val="24"/>
          <w:szCs w:val="24"/>
        </w:rPr>
      </w:pPr>
      <w:r w:rsidRPr="00E52C57">
        <w:rPr>
          <w:rFonts w:ascii="Garamond" w:hAnsi="Garamond" w:cstheme="majorBidi"/>
          <w:sz w:val="24"/>
          <w:szCs w:val="24"/>
        </w:rPr>
        <w:t>The Merdeka Belajar curriculum is designed to provide flexibility for educational institutions to create contextual operational curricula, ensuring that applied learning is aligned with student needs.</w:t>
      </w:r>
      <w:r>
        <w:rPr>
          <w:rStyle w:val="FootnoteReference"/>
          <w:rFonts w:ascii="Garamond" w:hAnsi="Garamond"/>
          <w:sz w:val="24"/>
          <w:szCs w:val="24"/>
        </w:rPr>
        <w:footnoteReference w:id="3"/>
      </w:r>
      <w:r w:rsidRPr="00E52C57">
        <w:rPr>
          <w:rFonts w:ascii="Garamond" w:hAnsi="Garamond" w:cstheme="majorBidi"/>
          <w:sz w:val="24"/>
          <w:szCs w:val="24"/>
        </w:rPr>
        <w:t xml:space="preserve"> The implementation of the new curriculum is likely to pose challenges due to the lack of balanced understanding between curriculum developers and curriculum users.</w:t>
      </w:r>
      <w:r>
        <w:rPr>
          <w:rStyle w:val="FootnoteReference"/>
          <w:rFonts w:ascii="Garamond" w:hAnsi="Garamond"/>
          <w:sz w:val="24"/>
          <w:szCs w:val="24"/>
        </w:rPr>
        <w:footnoteReference w:id="4"/>
      </w:r>
      <w:r w:rsidRPr="00E52C57">
        <w:rPr>
          <w:rFonts w:ascii="Garamond" w:hAnsi="Garamond" w:cstheme="majorBidi"/>
          <w:sz w:val="24"/>
          <w:szCs w:val="24"/>
        </w:rPr>
        <w:t xml:space="preserve"> The quality of teachers also has a significant effect on the quality of learning that will be implemented in the implementation of the Merdeka Belajar Curriculum.</w:t>
      </w:r>
      <w:r>
        <w:rPr>
          <w:rStyle w:val="FootnoteReference"/>
          <w:rFonts w:ascii="Garamond" w:hAnsi="Garamond"/>
          <w:sz w:val="24"/>
          <w:szCs w:val="24"/>
        </w:rPr>
        <w:footnoteReference w:id="5"/>
      </w:r>
      <w:r w:rsidRPr="00E52C57">
        <w:rPr>
          <w:rFonts w:ascii="Garamond" w:hAnsi="Garamond" w:cstheme="majorBidi"/>
          <w:sz w:val="24"/>
          <w:szCs w:val="24"/>
        </w:rPr>
        <w:t xml:space="preserve"> The demands of teacher leaders in each school are high, as well as the demands of teachers to learn the Merdeka Belajar Curriculum independently through the Merdeka Mengajar platform provided by the government.</w:t>
      </w:r>
    </w:p>
    <w:p w14:paraId="5A3262D0" w14:textId="5874E6AE" w:rsidR="00A235CC" w:rsidRPr="00E52C57" w:rsidRDefault="00A235CC" w:rsidP="00A235CC">
      <w:pPr>
        <w:spacing w:after="0" w:line="360" w:lineRule="auto"/>
        <w:ind w:firstLine="720"/>
        <w:jc w:val="both"/>
        <w:rPr>
          <w:rFonts w:ascii="Garamond" w:hAnsi="Garamond" w:cstheme="majorBidi"/>
          <w:sz w:val="24"/>
          <w:szCs w:val="24"/>
        </w:rPr>
      </w:pPr>
      <w:r w:rsidRPr="00E52C57">
        <w:rPr>
          <w:rFonts w:ascii="Garamond" w:hAnsi="Garamond" w:cstheme="majorBidi"/>
          <w:sz w:val="24"/>
          <w:szCs w:val="24"/>
        </w:rPr>
        <w:t xml:space="preserve">In the early stages of the introduction of the Independent Learning Curriculum, a major problem has already emerged. According to the latest data released by the Ministry of Education, Culture, Research, and Technology (Kemendikbudristek), 60% of teachers still have limited mastery of technology. This is evident from the ineffectiveness of distance learning in the past two years. Online learning has been conducted in a haphazard manner, resulting in significant learning loss. The government must be aware of this. It is not easy for a curriculum </w:t>
      </w:r>
      <w:r w:rsidRPr="00E52C57">
        <w:rPr>
          <w:rFonts w:ascii="Garamond" w:hAnsi="Garamond" w:cstheme="majorBidi"/>
          <w:sz w:val="24"/>
          <w:szCs w:val="24"/>
        </w:rPr>
        <w:lastRenderedPageBreak/>
        <w:t>to be immediately implemented and expect teachers to learn and collaborate independently in all the demands of the Independent Learning Curriculum. The most fundamental thing to consider in the implementation of this new curriculum is the readiness of teachers to change the paradigm of classroom teaching practices. Teachers are required to think and act freely to implement learning that is on the side of learners, as mandated by the curriculum.</w:t>
      </w:r>
      <w:r w:rsidR="00692D69">
        <w:rPr>
          <w:rStyle w:val="FootnoteReference"/>
          <w:rFonts w:ascii="Garamond" w:hAnsi="Garamond"/>
          <w:sz w:val="24"/>
          <w:szCs w:val="24"/>
        </w:rPr>
        <w:footnoteReference w:id="6"/>
      </w:r>
      <w:r w:rsidRPr="00E52C57">
        <w:rPr>
          <w:rFonts w:ascii="Garamond" w:hAnsi="Garamond" w:cstheme="majorBidi"/>
          <w:sz w:val="24"/>
          <w:szCs w:val="24"/>
        </w:rPr>
        <w:t xml:space="preserve"> So that the diverse nature, interests, talents, and potentials of students can grow optimally. </w:t>
      </w:r>
    </w:p>
    <w:p w14:paraId="5A05AC37" w14:textId="606E8A25" w:rsidR="00A235CC" w:rsidRPr="00E52C57" w:rsidRDefault="00A235CC" w:rsidP="00A235CC">
      <w:pPr>
        <w:spacing w:after="0" w:line="360" w:lineRule="auto"/>
        <w:ind w:firstLine="720"/>
        <w:jc w:val="both"/>
        <w:rPr>
          <w:rFonts w:ascii="Garamond" w:hAnsi="Garamond" w:cstheme="majorBidi"/>
          <w:sz w:val="24"/>
          <w:szCs w:val="24"/>
        </w:rPr>
      </w:pPr>
      <w:r w:rsidRPr="00E52C57">
        <w:rPr>
          <w:rFonts w:ascii="Garamond" w:hAnsi="Garamond" w:cstheme="majorBidi"/>
          <w:sz w:val="24"/>
          <w:szCs w:val="24"/>
        </w:rPr>
        <w:t>Based on several problems and previous research on the implementation of the free curriculum, it only discusses the response of teachers and leadership analysis towards the free learning policy. Such as in Rahmawati’s research on the response of Chemistry teachers to the Prototype Curriculum</w:t>
      </w:r>
      <w:r w:rsidR="00692D69">
        <w:rPr>
          <w:rStyle w:val="FootnoteReference"/>
          <w:rFonts w:ascii="Garamond" w:hAnsi="Garamond"/>
          <w:sz w:val="24"/>
          <w:szCs w:val="24"/>
        </w:rPr>
        <w:footnoteReference w:id="7"/>
      </w:r>
      <w:r w:rsidRPr="00E52C57">
        <w:rPr>
          <w:rFonts w:ascii="Garamond" w:hAnsi="Garamond" w:cstheme="majorBidi"/>
          <w:sz w:val="24"/>
          <w:szCs w:val="24"/>
        </w:rPr>
        <w:t xml:space="preserve"> and Muhammad Ihsan’s research on teacher readiness for the implementation of the Independent Learning Curriculum.</w:t>
      </w:r>
      <w:r w:rsidR="00692D69">
        <w:rPr>
          <w:rStyle w:val="FootnoteReference"/>
          <w:rFonts w:ascii="Garamond" w:hAnsi="Garamond"/>
          <w:sz w:val="24"/>
          <w:szCs w:val="24"/>
        </w:rPr>
        <w:footnoteReference w:id="8"/>
      </w:r>
      <w:r w:rsidRPr="00E52C57">
        <w:rPr>
          <w:rFonts w:ascii="Garamond" w:hAnsi="Garamond" w:cstheme="majorBidi"/>
          <w:sz w:val="24"/>
          <w:szCs w:val="24"/>
        </w:rPr>
        <w:t xml:space="preserve"> The preparation and socialization at the madrasah level are not as straightforward as the socialization at the public school level. This is evident from numerous research findings presented in various journals and articles discussing the implementation of the Independent Learning Curriculum in various public schools, such as the research conducted by Primanita Sholihah Rosmana et al</w:t>
      </w:r>
      <w:r w:rsidR="00692D69">
        <w:rPr>
          <w:rStyle w:val="FootnoteReference"/>
          <w:rFonts w:ascii="Garamond" w:hAnsi="Garamond"/>
          <w:sz w:val="24"/>
          <w:szCs w:val="24"/>
        </w:rPr>
        <w:footnoteReference w:id="9"/>
      </w:r>
      <w:r w:rsidRPr="00E52C57">
        <w:rPr>
          <w:rFonts w:ascii="Garamond" w:hAnsi="Garamond" w:cstheme="majorBidi"/>
          <w:sz w:val="24"/>
          <w:szCs w:val="24"/>
        </w:rPr>
        <w:t xml:space="preserve"> Regarding the readiness of primary schools (SD), the readiness of infrastructure to support the implementation of the Independent Learning Curriculum in senior high schools (SMA)</w:t>
      </w:r>
      <w:r w:rsidR="00692D69">
        <w:rPr>
          <w:rStyle w:val="FootnoteReference"/>
          <w:rFonts w:ascii="Garamond" w:hAnsi="Garamond"/>
          <w:sz w:val="24"/>
          <w:szCs w:val="24"/>
        </w:rPr>
        <w:footnoteReference w:id="10"/>
      </w:r>
      <w:r w:rsidRPr="00E52C57">
        <w:rPr>
          <w:rFonts w:ascii="Garamond" w:hAnsi="Garamond" w:cstheme="majorBidi"/>
          <w:sz w:val="24"/>
          <w:szCs w:val="24"/>
        </w:rPr>
        <w:t xml:space="preserve"> and the readiness of teachers in vocational high schools (SMK).</w:t>
      </w:r>
      <w:r w:rsidR="00692D69">
        <w:rPr>
          <w:rStyle w:val="FootnoteReference"/>
          <w:rFonts w:ascii="Garamond" w:hAnsi="Garamond"/>
          <w:sz w:val="24"/>
          <w:szCs w:val="24"/>
        </w:rPr>
        <w:footnoteReference w:id="11"/>
      </w:r>
      <w:r w:rsidRPr="00E52C57">
        <w:rPr>
          <w:rFonts w:ascii="Garamond" w:hAnsi="Garamond" w:cstheme="majorBidi"/>
          <w:sz w:val="24"/>
          <w:szCs w:val="24"/>
        </w:rPr>
        <w:t xml:space="preserve"> Furthermore, there is a limited discussion on the readiness of Islamic schools (madrasah) </w:t>
      </w:r>
      <w:r w:rsidR="00636146">
        <w:rPr>
          <w:rFonts w:ascii="Garamond" w:hAnsi="Garamond" w:cstheme="majorBidi"/>
          <w:sz w:val="24"/>
          <w:szCs w:val="24"/>
        </w:rPr>
        <w:t>to implement</w:t>
      </w:r>
      <w:r w:rsidRPr="00E52C57">
        <w:rPr>
          <w:rFonts w:ascii="Garamond" w:hAnsi="Garamond" w:cstheme="majorBidi"/>
          <w:sz w:val="24"/>
          <w:szCs w:val="24"/>
        </w:rPr>
        <w:t xml:space="preserve"> the Independent Learning Curriculum, with a predominant focus on describing its application in Islamic Elementary Schools (Madrasah Ibtidaiyyah). The resolution methods employed in several previous studies were exclusively qualitative or quantitative, with no research completing the investigation using a mixed-method approach.</w:t>
      </w:r>
    </w:p>
    <w:p w14:paraId="26AC8DFA" w14:textId="77777777" w:rsidR="00A235CC" w:rsidRPr="00E52C57" w:rsidRDefault="00A235CC" w:rsidP="00A235CC">
      <w:pPr>
        <w:spacing w:after="0" w:line="360" w:lineRule="auto"/>
        <w:ind w:firstLine="720"/>
        <w:jc w:val="both"/>
        <w:rPr>
          <w:rFonts w:ascii="Garamond" w:hAnsi="Garamond" w:cstheme="majorBidi"/>
          <w:sz w:val="24"/>
          <w:szCs w:val="24"/>
        </w:rPr>
      </w:pPr>
      <w:r w:rsidRPr="00E52C57">
        <w:rPr>
          <w:rFonts w:ascii="Garamond" w:hAnsi="Garamond" w:cstheme="majorBidi"/>
          <w:sz w:val="24"/>
          <w:szCs w:val="24"/>
        </w:rPr>
        <w:lastRenderedPageBreak/>
        <w:t>The preliminary interview results with the Vice Principal for the Curriculum at MTsN 1 Bone revealed that a challenge related to the readiness of the Madrasah in implementing the Independent Learning Curriculum is the insufficient provision of training and workshops (Bimtek) for teachers. This curriculum differs from its predecessors, thus requiring readiness on the part of various stakeholders, including the readiness of schools/madrasahs located in the Bone Regency. Consequently, the researcher is intrigued to examine the readiness of the Madrasah in implementing the Independent Learning Curriculum at MTsN 1 Bone, with the aim of understanding the readiness of the Madrasah through the readiness of teachers in the implementation of the Independent Learning Curriculum.</w:t>
      </w:r>
    </w:p>
    <w:p w14:paraId="62B95FD4" w14:textId="77777777" w:rsidR="000F7326" w:rsidRPr="00E52C57" w:rsidRDefault="000F7326" w:rsidP="007C7BA9">
      <w:pPr>
        <w:spacing w:after="0"/>
        <w:jc w:val="both"/>
        <w:rPr>
          <w:rFonts w:ascii="Garamond" w:hAnsi="Garamond"/>
          <w:b/>
          <w:sz w:val="24"/>
          <w:szCs w:val="24"/>
          <w:lang w:val="id-ID"/>
        </w:rPr>
      </w:pPr>
    </w:p>
    <w:p w14:paraId="7C9E297E" w14:textId="39CCA7CD" w:rsidR="003561BF" w:rsidRPr="00E52C57" w:rsidRDefault="003561BF" w:rsidP="00655AF7">
      <w:pPr>
        <w:spacing w:after="0"/>
        <w:jc w:val="both"/>
        <w:rPr>
          <w:rFonts w:ascii="Garamond" w:hAnsi="Garamond"/>
          <w:b/>
          <w:sz w:val="24"/>
          <w:szCs w:val="24"/>
          <w:lang w:val="id-ID"/>
        </w:rPr>
      </w:pPr>
      <w:r w:rsidRPr="00E52C57">
        <w:rPr>
          <w:rFonts w:ascii="Garamond" w:hAnsi="Garamond"/>
          <w:b/>
          <w:sz w:val="24"/>
          <w:szCs w:val="24"/>
        </w:rPr>
        <w:t>METHOD</w:t>
      </w:r>
    </w:p>
    <w:p w14:paraId="56A3666E" w14:textId="02D41B94" w:rsidR="003C2719" w:rsidRPr="00E52C57" w:rsidRDefault="003C2719" w:rsidP="003C2719">
      <w:pPr>
        <w:spacing w:after="0" w:line="360" w:lineRule="auto"/>
        <w:ind w:firstLine="709"/>
        <w:jc w:val="both"/>
        <w:rPr>
          <w:rFonts w:ascii="Garamond" w:hAnsi="Garamond" w:cstheme="majorBidi"/>
          <w:sz w:val="24"/>
          <w:szCs w:val="24"/>
        </w:rPr>
      </w:pPr>
      <w:r w:rsidRPr="00E52C57">
        <w:rPr>
          <w:rFonts w:ascii="Garamond" w:hAnsi="Garamond" w:cstheme="majorBidi"/>
          <w:sz w:val="24"/>
          <w:szCs w:val="24"/>
        </w:rPr>
        <w:t>This research constitutes a field study, specifically categorized as mixed-method research, combining both qualitative and quantitative research approaches. The applied methodology utilizes the concurrent triangulation strategy as its design model. This design model is defined as a research method that integrates both qualitative and quantitative research methods simultaneously, both in data collection and analysis. Subsequently, the acquired data is compared to identify elements suitable for integration and differentiation</w:t>
      </w:r>
      <w:r w:rsidR="00AD7CE2">
        <w:rPr>
          <w:rFonts w:ascii="Garamond" w:hAnsi="Garamond" w:cstheme="majorBidi"/>
          <w:sz w:val="24"/>
          <w:szCs w:val="24"/>
        </w:rPr>
        <w:t>.</w:t>
      </w:r>
      <w:r w:rsidRPr="00E52C57">
        <w:rPr>
          <w:rFonts w:ascii="Garamond" w:hAnsi="Garamond"/>
          <w:sz w:val="24"/>
          <w:szCs w:val="24"/>
        </w:rPr>
        <w:t xml:space="preserve"> </w:t>
      </w:r>
      <w:r w:rsidRPr="00E52C57">
        <w:rPr>
          <w:rFonts w:ascii="Garamond" w:hAnsi="Garamond" w:cstheme="majorBidi"/>
          <w:sz w:val="24"/>
          <w:szCs w:val="24"/>
        </w:rPr>
        <w:t>Consequently, the acquired data becomes more comprehensive and accurate. The research was conducted at MTsN 1 Bone, located on Jend. Sukawati St., Manurunge Village, District of Tanete Riattang, Bone Regency, South Sulawesi Province. The study took place from July to September 2023.</w:t>
      </w:r>
    </w:p>
    <w:p w14:paraId="559D7A0D" w14:textId="77777777" w:rsidR="003C2719" w:rsidRPr="00E52C57" w:rsidRDefault="003C2719" w:rsidP="003C2719">
      <w:pPr>
        <w:spacing w:after="0" w:line="360" w:lineRule="auto"/>
        <w:ind w:firstLine="709"/>
        <w:jc w:val="both"/>
        <w:rPr>
          <w:rFonts w:ascii="Garamond" w:hAnsi="Garamond" w:cstheme="majorBidi"/>
          <w:sz w:val="24"/>
          <w:szCs w:val="24"/>
        </w:rPr>
      </w:pPr>
      <w:r w:rsidRPr="00E52C57">
        <w:rPr>
          <w:rFonts w:ascii="Garamond" w:hAnsi="Garamond" w:cstheme="majorBidi"/>
          <w:sz w:val="24"/>
          <w:szCs w:val="24"/>
        </w:rPr>
        <w:t>The research subjects in this study were the Vice Principal for Curriculum at MTsN 1 Bone and educational staff, with a total sample size of 50 individuals. The selection of these research subjects is expected to provide information and data regarding the overall readiness of MTsN 1 Bone in implementing the Independent Learning Curriculum.</w:t>
      </w:r>
    </w:p>
    <w:p w14:paraId="15603ABD" w14:textId="77777777" w:rsidR="003C2719" w:rsidRPr="00E52C57" w:rsidRDefault="003C2719" w:rsidP="003C2719">
      <w:pPr>
        <w:spacing w:after="0" w:line="360" w:lineRule="auto"/>
        <w:ind w:firstLine="709"/>
        <w:jc w:val="both"/>
        <w:rPr>
          <w:rFonts w:ascii="Garamond" w:hAnsi="Garamond" w:cstheme="majorBidi"/>
          <w:sz w:val="24"/>
          <w:szCs w:val="24"/>
        </w:rPr>
      </w:pPr>
      <w:r w:rsidRPr="00E52C57">
        <w:rPr>
          <w:rFonts w:ascii="Garamond" w:hAnsi="Garamond" w:cstheme="majorBidi"/>
          <w:sz w:val="24"/>
          <w:szCs w:val="24"/>
        </w:rPr>
        <w:t>Data in this research were obtained from information and documents through official documents and individual documents related to the efforts made by the educational institution to assess the readiness of the Madrasah in implementing the Independent Learning Curriculum at MTsN 1 Bone.</w:t>
      </w:r>
    </w:p>
    <w:p w14:paraId="27BA1B5C" w14:textId="77777777" w:rsidR="003C2719" w:rsidRPr="00E52C57" w:rsidRDefault="003C2719" w:rsidP="003C2719">
      <w:pPr>
        <w:spacing w:after="0" w:line="360" w:lineRule="auto"/>
        <w:ind w:firstLine="709"/>
        <w:jc w:val="both"/>
        <w:rPr>
          <w:rFonts w:ascii="Garamond" w:hAnsi="Garamond"/>
          <w:sz w:val="24"/>
          <w:szCs w:val="24"/>
        </w:rPr>
      </w:pPr>
      <w:r w:rsidRPr="00E52C57">
        <w:rPr>
          <w:rFonts w:ascii="Garamond" w:hAnsi="Garamond" w:cstheme="majorBidi"/>
          <w:sz w:val="24"/>
          <w:szCs w:val="24"/>
        </w:rPr>
        <w:t xml:space="preserve">Research instruments are tools or materials used in the data collection process. In this study, three types of instruments were used: interview guidelines, questionnaire guidelines, and documents. These instruments were tailored to the techniques and methods of data collection, involving interviews, questionnaires, and documentation. Data collection was carried out in a </w:t>
      </w:r>
      <w:r w:rsidRPr="00E52C57">
        <w:rPr>
          <w:rFonts w:ascii="Garamond" w:hAnsi="Garamond" w:cstheme="majorBidi"/>
          <w:sz w:val="24"/>
          <w:szCs w:val="24"/>
        </w:rPr>
        <w:lastRenderedPageBreak/>
        <w:t>systematic procedure by adopting a combination research method to obtain more in-depth and accurate research results.</w:t>
      </w:r>
    </w:p>
    <w:p w14:paraId="29B862D4" w14:textId="7892773C" w:rsidR="003C2719" w:rsidRPr="00E52C57" w:rsidRDefault="003C2719" w:rsidP="003C2719">
      <w:pPr>
        <w:spacing w:after="0" w:line="360" w:lineRule="auto"/>
        <w:ind w:firstLine="709"/>
        <w:jc w:val="both"/>
        <w:rPr>
          <w:rFonts w:ascii="Garamond" w:hAnsi="Garamond"/>
          <w:sz w:val="24"/>
          <w:szCs w:val="24"/>
        </w:rPr>
      </w:pPr>
      <w:r w:rsidRPr="00E52C57">
        <w:rPr>
          <w:rFonts w:ascii="Garamond" w:hAnsi="Garamond"/>
          <w:sz w:val="24"/>
          <w:szCs w:val="24"/>
        </w:rPr>
        <w:t>The data analysis technique in this research involved analyzing qualitative and quantitative data. Qualitative data analysis uses words that are arranged in an expanded or described text.</w:t>
      </w:r>
      <w:r w:rsidR="00692D69">
        <w:rPr>
          <w:rStyle w:val="FootnoteReference"/>
          <w:rFonts w:ascii="Garamond" w:hAnsi="Garamond"/>
          <w:sz w:val="24"/>
          <w:szCs w:val="24"/>
        </w:rPr>
        <w:footnoteReference w:id="12"/>
      </w:r>
      <w:r w:rsidRPr="00E52C57">
        <w:rPr>
          <w:rFonts w:ascii="Garamond" w:hAnsi="Garamond"/>
          <w:sz w:val="24"/>
          <w:szCs w:val="24"/>
        </w:rPr>
        <w:t xml:space="preserve"> The qualitative data analysis was carried out in three stages: data reduction, data presentation, and conclusion drawing, followed by verification. Meanwhile, the quantitative descriptive analysis was conducted by converting the questionnaire scores to a scale of 0-100 and determining the readiness criteria of teachers in implementing the Independent Learning Curriculum based on the following table classification:</w:t>
      </w:r>
    </w:p>
    <w:p w14:paraId="21B420A8" w14:textId="77777777" w:rsidR="003C2719" w:rsidRPr="00E52C57" w:rsidRDefault="003C2719" w:rsidP="003C2719">
      <w:pPr>
        <w:pStyle w:val="ListParagraph"/>
        <w:spacing w:after="0"/>
        <w:jc w:val="center"/>
        <w:rPr>
          <w:rFonts w:ascii="Garamond" w:hAnsi="Garamond"/>
          <w:b/>
          <w:bCs/>
          <w:noProof/>
          <w:sz w:val="24"/>
          <w:szCs w:val="24"/>
        </w:rPr>
      </w:pPr>
    </w:p>
    <w:p w14:paraId="16558501" w14:textId="77777777" w:rsidR="003C2719" w:rsidRPr="00E52C57" w:rsidRDefault="003C2719" w:rsidP="003C2719">
      <w:pPr>
        <w:pStyle w:val="ListParagraph"/>
        <w:spacing w:after="0"/>
        <w:jc w:val="center"/>
        <w:rPr>
          <w:rFonts w:ascii="Garamond" w:hAnsi="Garamond"/>
          <w:b/>
          <w:bCs/>
          <w:noProof/>
          <w:sz w:val="24"/>
          <w:szCs w:val="24"/>
        </w:rPr>
      </w:pPr>
      <w:r w:rsidRPr="00E52C57">
        <w:rPr>
          <w:rFonts w:ascii="Garamond" w:hAnsi="Garamond"/>
          <w:b/>
          <w:bCs/>
          <w:noProof/>
          <w:sz w:val="24"/>
          <w:szCs w:val="24"/>
        </w:rPr>
        <w:t xml:space="preserve">Table 1. </w:t>
      </w:r>
      <w:r w:rsidRPr="00E52C57">
        <w:rPr>
          <w:rFonts w:ascii="Garamond" w:hAnsi="Garamond"/>
          <w:noProof/>
          <w:sz w:val="24"/>
          <w:szCs w:val="24"/>
        </w:rPr>
        <w:t>Assessment Criteria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38"/>
        <w:gridCol w:w="2819"/>
      </w:tblGrid>
      <w:tr w:rsidR="003C2719" w:rsidRPr="00E52C57" w14:paraId="5B471A4E" w14:textId="77777777" w:rsidTr="001C1799">
        <w:trPr>
          <w:jc w:val="center"/>
        </w:trPr>
        <w:tc>
          <w:tcPr>
            <w:tcW w:w="2838" w:type="dxa"/>
            <w:hideMark/>
          </w:tcPr>
          <w:p w14:paraId="69DC4523"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Criteria</w:t>
            </w:r>
          </w:p>
        </w:tc>
        <w:tc>
          <w:tcPr>
            <w:tcW w:w="2819" w:type="dxa"/>
            <w:hideMark/>
          </w:tcPr>
          <w:p w14:paraId="42553E62"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Score</w:t>
            </w:r>
          </w:p>
        </w:tc>
      </w:tr>
      <w:tr w:rsidR="003C2719" w:rsidRPr="00E52C57" w14:paraId="06FD3E36" w14:textId="77777777" w:rsidTr="001C1799">
        <w:trPr>
          <w:jc w:val="center"/>
        </w:trPr>
        <w:tc>
          <w:tcPr>
            <w:tcW w:w="2838" w:type="dxa"/>
            <w:hideMark/>
          </w:tcPr>
          <w:p w14:paraId="51C900F8" w14:textId="77777777" w:rsidR="003C2719" w:rsidRPr="00E52C57" w:rsidRDefault="003C2719" w:rsidP="001C1799">
            <w:pPr>
              <w:jc w:val="center"/>
              <w:rPr>
                <w:rFonts w:ascii="Garamond" w:hAnsi="Garamond"/>
                <w:sz w:val="24"/>
                <w:szCs w:val="24"/>
              </w:rPr>
            </w:pPr>
            <w:r w:rsidRPr="00E52C57">
              <w:rPr>
                <w:rFonts w:ascii="Garamond" w:hAnsi="Garamond"/>
                <w:sz w:val="24"/>
                <w:szCs w:val="24"/>
              </w:rPr>
              <w:t>Not Ready</w:t>
            </w:r>
          </w:p>
        </w:tc>
        <w:tc>
          <w:tcPr>
            <w:tcW w:w="2819" w:type="dxa"/>
            <w:hideMark/>
          </w:tcPr>
          <w:p w14:paraId="273713BF"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 ≤25</m:t>
                </m:r>
              </m:oMath>
            </m:oMathPara>
          </w:p>
        </w:tc>
      </w:tr>
      <w:tr w:rsidR="003C2719" w:rsidRPr="00E52C57" w14:paraId="1AC530AE" w14:textId="77777777" w:rsidTr="001C1799">
        <w:trPr>
          <w:jc w:val="center"/>
        </w:trPr>
        <w:tc>
          <w:tcPr>
            <w:tcW w:w="2838" w:type="dxa"/>
            <w:hideMark/>
          </w:tcPr>
          <w:p w14:paraId="3C485D75" w14:textId="77777777" w:rsidR="003C2719" w:rsidRPr="00E52C57" w:rsidRDefault="003C2719" w:rsidP="001C1799">
            <w:pPr>
              <w:jc w:val="center"/>
              <w:rPr>
                <w:rFonts w:ascii="Garamond" w:hAnsi="Garamond"/>
                <w:sz w:val="24"/>
                <w:szCs w:val="24"/>
              </w:rPr>
            </w:pPr>
            <w:r w:rsidRPr="00E52C57">
              <w:rPr>
                <w:rFonts w:ascii="Garamond" w:hAnsi="Garamond"/>
                <w:sz w:val="24"/>
                <w:szCs w:val="24"/>
              </w:rPr>
              <w:t>Less Ready</w:t>
            </w:r>
          </w:p>
        </w:tc>
        <w:tc>
          <w:tcPr>
            <w:tcW w:w="2819" w:type="dxa"/>
            <w:hideMark/>
          </w:tcPr>
          <w:p w14:paraId="3F36220D"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25&lt;x ≤50</m:t>
                </m:r>
              </m:oMath>
            </m:oMathPara>
          </w:p>
        </w:tc>
      </w:tr>
      <w:tr w:rsidR="003C2719" w:rsidRPr="00E52C57" w14:paraId="2815C7CA" w14:textId="77777777" w:rsidTr="001C1799">
        <w:trPr>
          <w:jc w:val="center"/>
        </w:trPr>
        <w:tc>
          <w:tcPr>
            <w:tcW w:w="2838" w:type="dxa"/>
            <w:hideMark/>
          </w:tcPr>
          <w:p w14:paraId="19E94287" w14:textId="77777777" w:rsidR="003C2719" w:rsidRPr="00E52C57" w:rsidRDefault="003C2719" w:rsidP="001C1799">
            <w:pPr>
              <w:jc w:val="center"/>
              <w:rPr>
                <w:rFonts w:ascii="Garamond" w:hAnsi="Garamond"/>
                <w:sz w:val="24"/>
                <w:szCs w:val="24"/>
              </w:rPr>
            </w:pPr>
            <w:r w:rsidRPr="00E52C57">
              <w:rPr>
                <w:rFonts w:ascii="Garamond" w:hAnsi="Garamond"/>
                <w:sz w:val="24"/>
                <w:szCs w:val="24"/>
              </w:rPr>
              <w:t>Ready</w:t>
            </w:r>
          </w:p>
        </w:tc>
        <w:tc>
          <w:tcPr>
            <w:tcW w:w="2819" w:type="dxa"/>
            <w:hideMark/>
          </w:tcPr>
          <w:p w14:paraId="24A9FB2E"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50&lt;x ≤75</m:t>
                </m:r>
              </m:oMath>
            </m:oMathPara>
          </w:p>
        </w:tc>
      </w:tr>
      <w:tr w:rsidR="003C2719" w:rsidRPr="00E52C57" w14:paraId="292A2129" w14:textId="77777777" w:rsidTr="001C1799">
        <w:trPr>
          <w:jc w:val="center"/>
        </w:trPr>
        <w:tc>
          <w:tcPr>
            <w:tcW w:w="2838" w:type="dxa"/>
            <w:hideMark/>
          </w:tcPr>
          <w:p w14:paraId="669E4D13" w14:textId="77777777" w:rsidR="003C2719" w:rsidRPr="00E52C57" w:rsidRDefault="003C2719" w:rsidP="001C1799">
            <w:pPr>
              <w:jc w:val="center"/>
              <w:rPr>
                <w:rFonts w:ascii="Garamond" w:hAnsi="Garamond"/>
                <w:sz w:val="24"/>
                <w:szCs w:val="24"/>
              </w:rPr>
            </w:pPr>
            <w:r w:rsidRPr="00E52C57">
              <w:rPr>
                <w:rFonts w:ascii="Garamond" w:hAnsi="Garamond"/>
                <w:sz w:val="24"/>
                <w:szCs w:val="24"/>
              </w:rPr>
              <w:t>Highly Ready</w:t>
            </w:r>
          </w:p>
        </w:tc>
        <w:tc>
          <w:tcPr>
            <w:tcW w:w="2819" w:type="dxa"/>
            <w:hideMark/>
          </w:tcPr>
          <w:p w14:paraId="61FFB0AF"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x&gt;75</m:t>
                </m:r>
              </m:oMath>
            </m:oMathPara>
          </w:p>
        </w:tc>
      </w:tr>
    </w:tbl>
    <w:p w14:paraId="5046F7D6" w14:textId="77777777" w:rsidR="003C2719" w:rsidRPr="00E52C57" w:rsidRDefault="003C2719" w:rsidP="003C2719">
      <w:pPr>
        <w:spacing w:after="0" w:line="360" w:lineRule="auto"/>
        <w:ind w:firstLine="709"/>
        <w:jc w:val="both"/>
        <w:rPr>
          <w:rFonts w:ascii="Garamond" w:hAnsi="Garamond"/>
          <w:sz w:val="24"/>
          <w:szCs w:val="24"/>
        </w:rPr>
      </w:pPr>
    </w:p>
    <w:p w14:paraId="4D9EB3B1" w14:textId="25F5242C" w:rsidR="003C2719" w:rsidRPr="00E52C57" w:rsidRDefault="003C2719" w:rsidP="003C2719">
      <w:pPr>
        <w:spacing w:after="0" w:line="360" w:lineRule="auto"/>
        <w:ind w:firstLine="709"/>
        <w:jc w:val="both"/>
        <w:rPr>
          <w:rFonts w:ascii="Garamond" w:hAnsi="Garamond"/>
          <w:sz w:val="24"/>
          <w:szCs w:val="24"/>
        </w:rPr>
      </w:pPr>
      <w:r w:rsidRPr="00E52C57">
        <w:rPr>
          <w:rFonts w:ascii="Garamond" w:hAnsi="Garamond"/>
          <w:sz w:val="24"/>
          <w:szCs w:val="24"/>
        </w:rPr>
        <w:t>Quantitative descriptive analysis is performed on the raw data obtained to facilitate understanding and to determine the level of each variable. To facilitate descriptive analysis, data presentation is used in the form of a frequency distribution table or percentage table with the following formula</w:t>
      </w:r>
      <w:r w:rsidR="00692D69">
        <w:rPr>
          <w:rStyle w:val="FootnoteReference"/>
          <w:rFonts w:ascii="Garamond" w:hAnsi="Garamond"/>
          <w:sz w:val="24"/>
          <w:szCs w:val="24"/>
        </w:rPr>
        <w:footnoteReference w:id="13"/>
      </w:r>
      <w:r w:rsidRPr="00E52C57">
        <w:rPr>
          <w:rFonts w:ascii="Garamond" w:hAnsi="Garamond"/>
          <w:sz w:val="24"/>
          <w:szCs w:val="24"/>
        </w:rPr>
        <w:t>:</w:t>
      </w:r>
    </w:p>
    <w:p w14:paraId="5C607D2B" w14:textId="77777777" w:rsidR="003C2719" w:rsidRPr="00E52C57" w:rsidRDefault="003C2719" w:rsidP="003C2719">
      <w:pPr>
        <w:spacing w:after="0" w:line="480" w:lineRule="exact"/>
        <w:jc w:val="center"/>
        <w:rPr>
          <w:rFonts w:ascii="Garamond" w:hAnsi="Garamond"/>
          <w:sz w:val="24"/>
          <w:szCs w:val="24"/>
        </w:rPr>
      </w:pPr>
      <w:r w:rsidRPr="00E52C57">
        <w:rPr>
          <w:rFonts w:ascii="Garamond" w:hAnsi="Garamond"/>
          <w:b/>
          <w:bCs/>
          <w:sz w:val="24"/>
          <w:szCs w:val="24"/>
        </w:rPr>
        <w:t xml:space="preserve">P = </w:t>
      </w:r>
      <m:oMath>
        <m:f>
          <m:fPr>
            <m:ctrlPr>
              <w:rPr>
                <w:rFonts w:ascii="Cambria Math" w:hAnsi="Cambria Math"/>
                <w:b/>
                <w:bCs/>
                <w:iCs/>
                <w:sz w:val="24"/>
                <w:szCs w:val="24"/>
              </w:rPr>
            </m:ctrlPr>
          </m:fPr>
          <m:num>
            <m:r>
              <m:rPr>
                <m:sty m:val="b"/>
              </m:rPr>
              <w:rPr>
                <w:rFonts w:ascii="Cambria Math" w:hAnsi="Cambria Math"/>
                <w:sz w:val="24"/>
                <w:szCs w:val="24"/>
              </w:rPr>
              <m:t>F</m:t>
            </m:r>
          </m:num>
          <m:den>
            <m:eqArr>
              <m:eqArrPr>
                <m:ctrlPr>
                  <w:rPr>
                    <w:rFonts w:ascii="Cambria Math" w:hAnsi="Cambria Math"/>
                    <w:b/>
                    <w:sz w:val="24"/>
                    <w:szCs w:val="24"/>
                  </w:rPr>
                </m:ctrlPr>
              </m:eqArrPr>
              <m:e>
                <m:r>
                  <m:rPr>
                    <m:sty m:val="b"/>
                  </m:rPr>
                  <w:rPr>
                    <w:rFonts w:ascii="Cambria Math" w:hAnsi="Cambria Math"/>
                    <w:sz w:val="24"/>
                    <w:szCs w:val="24"/>
                  </w:rPr>
                  <m:t>N</m:t>
                </m:r>
              </m:e>
              <m:e/>
            </m:eqArr>
          </m:den>
        </m:f>
      </m:oMath>
      <w:r w:rsidRPr="00E52C57">
        <w:rPr>
          <w:rFonts w:ascii="Garamond" w:hAnsi="Garamond"/>
          <w:b/>
          <w:bCs/>
          <w:sz w:val="24"/>
          <w:szCs w:val="24"/>
        </w:rPr>
        <w:t xml:space="preserve"> x 100%</w:t>
      </w:r>
    </w:p>
    <w:p w14:paraId="7CAEBBBA" w14:textId="77777777" w:rsidR="003C2719" w:rsidRPr="00E52C57" w:rsidRDefault="003C2719" w:rsidP="003C2719">
      <w:pPr>
        <w:spacing w:after="0" w:line="360" w:lineRule="auto"/>
        <w:rPr>
          <w:rFonts w:ascii="Garamond" w:hAnsi="Garamond"/>
          <w:sz w:val="24"/>
          <w:szCs w:val="24"/>
        </w:rPr>
      </w:pPr>
      <w:r w:rsidRPr="00E52C57">
        <w:rPr>
          <w:rFonts w:ascii="Garamond" w:hAnsi="Garamond"/>
          <w:sz w:val="24"/>
          <w:szCs w:val="24"/>
        </w:rPr>
        <w:t>Explanation:</w:t>
      </w:r>
    </w:p>
    <w:p w14:paraId="5664B7FE" w14:textId="77777777" w:rsidR="003C2719" w:rsidRPr="00E52C57" w:rsidRDefault="003C2719" w:rsidP="003C2719">
      <w:pPr>
        <w:spacing w:after="0" w:line="360" w:lineRule="auto"/>
        <w:ind w:left="720" w:firstLine="720"/>
        <w:rPr>
          <w:rFonts w:ascii="Garamond" w:hAnsi="Garamond"/>
          <w:sz w:val="24"/>
          <w:szCs w:val="24"/>
        </w:rPr>
      </w:pPr>
      <w:r w:rsidRPr="00E52C57">
        <w:rPr>
          <w:rFonts w:ascii="Garamond" w:hAnsi="Garamond"/>
          <w:sz w:val="24"/>
          <w:szCs w:val="24"/>
        </w:rPr>
        <w:t>P: Percentage</w:t>
      </w:r>
    </w:p>
    <w:p w14:paraId="70F37AFD" w14:textId="77777777" w:rsidR="003C2719" w:rsidRPr="00E52C57" w:rsidRDefault="003C2719" w:rsidP="003C2719">
      <w:pPr>
        <w:spacing w:after="0" w:line="360" w:lineRule="auto"/>
        <w:ind w:left="720" w:firstLine="720"/>
        <w:rPr>
          <w:rFonts w:ascii="Garamond" w:hAnsi="Garamond"/>
          <w:sz w:val="24"/>
          <w:szCs w:val="24"/>
        </w:rPr>
      </w:pPr>
      <w:r w:rsidRPr="00E52C57">
        <w:rPr>
          <w:rFonts w:ascii="Garamond" w:hAnsi="Garamond"/>
          <w:sz w:val="24"/>
          <w:szCs w:val="24"/>
        </w:rPr>
        <w:t>F: Frequency of the item whose percentage is being sought</w:t>
      </w:r>
    </w:p>
    <w:p w14:paraId="47C23572" w14:textId="77777777" w:rsidR="003C2719" w:rsidRDefault="003C2719" w:rsidP="003C2719">
      <w:pPr>
        <w:spacing w:after="0" w:line="360" w:lineRule="auto"/>
        <w:ind w:left="720" w:firstLine="720"/>
        <w:rPr>
          <w:rFonts w:ascii="Garamond" w:hAnsi="Garamond"/>
          <w:sz w:val="24"/>
          <w:szCs w:val="24"/>
        </w:rPr>
      </w:pPr>
      <w:r w:rsidRPr="00E52C57">
        <w:rPr>
          <w:rFonts w:ascii="Garamond" w:hAnsi="Garamond"/>
          <w:sz w:val="24"/>
          <w:szCs w:val="24"/>
        </w:rPr>
        <w:t>N: Number of cases (total number of frequencies/individuals)</w:t>
      </w:r>
    </w:p>
    <w:p w14:paraId="37E82C5A" w14:textId="77777777" w:rsidR="00E00AC1" w:rsidRPr="00E52C57" w:rsidRDefault="00E00AC1" w:rsidP="003C2719">
      <w:pPr>
        <w:spacing w:after="0" w:line="360" w:lineRule="auto"/>
        <w:ind w:left="720" w:firstLine="720"/>
        <w:rPr>
          <w:rFonts w:ascii="Garamond" w:hAnsi="Garamond"/>
          <w:sz w:val="24"/>
          <w:szCs w:val="24"/>
        </w:rPr>
      </w:pPr>
    </w:p>
    <w:p w14:paraId="05D1CC94" w14:textId="77777777" w:rsidR="000123CA" w:rsidRDefault="000123CA">
      <w:pPr>
        <w:rPr>
          <w:rFonts w:ascii="Garamond" w:hAnsi="Garamond"/>
          <w:b/>
          <w:sz w:val="24"/>
          <w:szCs w:val="24"/>
        </w:rPr>
      </w:pPr>
      <w:r>
        <w:rPr>
          <w:rFonts w:ascii="Garamond" w:hAnsi="Garamond"/>
          <w:b/>
          <w:sz w:val="24"/>
          <w:szCs w:val="24"/>
        </w:rPr>
        <w:br w:type="page"/>
      </w:r>
    </w:p>
    <w:p w14:paraId="4B9FF18F" w14:textId="3059F326" w:rsidR="00D67091" w:rsidRPr="00E52C57" w:rsidRDefault="00D67091" w:rsidP="00655AF7">
      <w:pPr>
        <w:spacing w:after="0"/>
        <w:jc w:val="both"/>
        <w:rPr>
          <w:rFonts w:ascii="Garamond" w:hAnsi="Garamond"/>
          <w:b/>
          <w:sz w:val="24"/>
          <w:szCs w:val="24"/>
        </w:rPr>
      </w:pPr>
      <w:r w:rsidRPr="00E52C57">
        <w:rPr>
          <w:rFonts w:ascii="Garamond" w:hAnsi="Garamond"/>
          <w:b/>
          <w:sz w:val="24"/>
          <w:szCs w:val="24"/>
        </w:rPr>
        <w:lastRenderedPageBreak/>
        <w:t>RESULTS AND DISCUSSION</w:t>
      </w:r>
    </w:p>
    <w:p w14:paraId="41FB908D" w14:textId="77777777" w:rsidR="003C2719" w:rsidRPr="00E52C57" w:rsidRDefault="003C2719" w:rsidP="003C2719">
      <w:pPr>
        <w:spacing w:after="0" w:line="360" w:lineRule="auto"/>
        <w:jc w:val="both"/>
        <w:rPr>
          <w:rFonts w:ascii="Garamond" w:hAnsi="Garamond"/>
          <w:b/>
          <w:bCs/>
          <w:sz w:val="24"/>
          <w:szCs w:val="24"/>
        </w:rPr>
      </w:pPr>
      <w:r w:rsidRPr="00E52C57">
        <w:rPr>
          <w:rFonts w:ascii="Garamond" w:hAnsi="Garamond"/>
          <w:b/>
          <w:bCs/>
          <w:sz w:val="24"/>
          <w:szCs w:val="24"/>
        </w:rPr>
        <w:t>Readiness of Teachers at MTsN 1 Bone in the Implementation of the Independent Learning Curriculum</w:t>
      </w:r>
    </w:p>
    <w:p w14:paraId="6AE538B4" w14:textId="77777777" w:rsidR="003C2719" w:rsidRDefault="003C2719" w:rsidP="003C2719">
      <w:pPr>
        <w:spacing w:after="0" w:line="360" w:lineRule="auto"/>
        <w:ind w:firstLine="720"/>
        <w:jc w:val="both"/>
        <w:rPr>
          <w:rFonts w:ascii="Garamond" w:hAnsi="Garamond"/>
          <w:sz w:val="24"/>
          <w:szCs w:val="24"/>
        </w:rPr>
      </w:pPr>
      <w:r w:rsidRPr="00E52C57">
        <w:rPr>
          <w:rFonts w:ascii="Garamond" w:hAnsi="Garamond"/>
          <w:sz w:val="24"/>
          <w:szCs w:val="24"/>
        </w:rPr>
        <w:t>Based on the results of the questionnaire on the readiness of madrasah to implement the Independent Learning Curriculum using the Likert scale, the total score for all questions was 4935 with a percentage of 71%. Based on Table 2, this falls within the criteria for being ready to implement the Independent Learning Curriculum. In general, the distribution of the research results from the questionnaire is presented as follows.</w:t>
      </w:r>
    </w:p>
    <w:p w14:paraId="7EB2FE23" w14:textId="77777777" w:rsidR="00E00AC1" w:rsidRPr="00E52C57" w:rsidRDefault="00E00AC1" w:rsidP="003C2719">
      <w:pPr>
        <w:spacing w:after="0" w:line="360" w:lineRule="auto"/>
        <w:ind w:firstLine="720"/>
        <w:jc w:val="both"/>
        <w:rPr>
          <w:rFonts w:ascii="Garamond" w:hAnsi="Garamond"/>
          <w:sz w:val="24"/>
          <w:szCs w:val="24"/>
        </w:rPr>
      </w:pPr>
    </w:p>
    <w:p w14:paraId="76BD362B" w14:textId="77777777" w:rsidR="003C2719" w:rsidRPr="00E52C57" w:rsidRDefault="003C2719" w:rsidP="003C2719">
      <w:pPr>
        <w:spacing w:after="0" w:line="240" w:lineRule="auto"/>
        <w:jc w:val="center"/>
        <w:rPr>
          <w:rFonts w:ascii="Garamond" w:hAnsi="Garamond"/>
          <w:sz w:val="24"/>
          <w:szCs w:val="24"/>
        </w:rPr>
      </w:pPr>
      <w:r w:rsidRPr="00E52C57">
        <w:rPr>
          <w:rFonts w:ascii="Garamond" w:hAnsi="Garamond"/>
          <w:b/>
          <w:bCs/>
          <w:sz w:val="24"/>
          <w:szCs w:val="24"/>
        </w:rPr>
        <w:t xml:space="preserve">Table 2. </w:t>
      </w:r>
      <w:r w:rsidRPr="00E52C57">
        <w:rPr>
          <w:rFonts w:ascii="Garamond" w:hAnsi="Garamond"/>
          <w:sz w:val="24"/>
          <w:szCs w:val="24"/>
        </w:rPr>
        <w:t>The Results of the Madrasah Readiness Survey in Implementing the Independent Learning Curriculum at MTsN 1 Bone</w:t>
      </w:r>
    </w:p>
    <w:tbl>
      <w:tblPr>
        <w:tblStyle w:val="TableGrid"/>
        <w:tblW w:w="7205"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89"/>
        <w:gridCol w:w="2638"/>
        <w:gridCol w:w="1878"/>
      </w:tblGrid>
      <w:tr w:rsidR="003C2719" w:rsidRPr="00E52C57" w14:paraId="7356E4D4" w14:textId="77777777" w:rsidTr="001C1799">
        <w:trPr>
          <w:trHeight w:val="313"/>
          <w:jc w:val="center"/>
        </w:trPr>
        <w:tc>
          <w:tcPr>
            <w:tcW w:w="2689" w:type="dxa"/>
            <w:tcBorders>
              <w:top w:val="single" w:sz="4" w:space="0" w:color="auto"/>
              <w:bottom w:val="single" w:sz="4" w:space="0" w:color="auto"/>
            </w:tcBorders>
          </w:tcPr>
          <w:p w14:paraId="53D3F54C"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Criteria</w:t>
            </w:r>
          </w:p>
        </w:tc>
        <w:tc>
          <w:tcPr>
            <w:tcW w:w="2638" w:type="dxa"/>
            <w:tcBorders>
              <w:top w:val="single" w:sz="4" w:space="0" w:color="auto"/>
              <w:bottom w:val="single" w:sz="4" w:space="0" w:color="auto"/>
            </w:tcBorders>
          </w:tcPr>
          <w:p w14:paraId="0576512F"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Score</w:t>
            </w:r>
          </w:p>
        </w:tc>
        <w:tc>
          <w:tcPr>
            <w:tcW w:w="1878" w:type="dxa"/>
            <w:tcBorders>
              <w:top w:val="single" w:sz="4" w:space="0" w:color="auto"/>
              <w:bottom w:val="single" w:sz="4" w:space="0" w:color="auto"/>
            </w:tcBorders>
          </w:tcPr>
          <w:p w14:paraId="2715331F"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Percentage</w:t>
            </w:r>
          </w:p>
        </w:tc>
      </w:tr>
      <w:tr w:rsidR="003C2719" w:rsidRPr="00E52C57" w14:paraId="6BAC0C05" w14:textId="77777777" w:rsidTr="001C1799">
        <w:trPr>
          <w:trHeight w:val="313"/>
          <w:jc w:val="center"/>
        </w:trPr>
        <w:tc>
          <w:tcPr>
            <w:tcW w:w="2689" w:type="dxa"/>
            <w:tcBorders>
              <w:top w:val="single" w:sz="4" w:space="0" w:color="auto"/>
              <w:bottom w:val="single" w:sz="4" w:space="0" w:color="auto"/>
            </w:tcBorders>
          </w:tcPr>
          <w:p w14:paraId="67959E89" w14:textId="77777777" w:rsidR="003C2719" w:rsidRPr="00E52C57" w:rsidRDefault="003C2719" w:rsidP="001C1799">
            <w:pPr>
              <w:jc w:val="center"/>
              <w:rPr>
                <w:rFonts w:ascii="Garamond" w:hAnsi="Garamond"/>
                <w:sz w:val="24"/>
                <w:szCs w:val="24"/>
              </w:rPr>
            </w:pPr>
            <w:r w:rsidRPr="00E52C57">
              <w:rPr>
                <w:rFonts w:ascii="Garamond" w:hAnsi="Garamond"/>
                <w:sz w:val="24"/>
                <w:szCs w:val="24"/>
              </w:rPr>
              <w:t>Not Ready</w:t>
            </w:r>
          </w:p>
        </w:tc>
        <w:tc>
          <w:tcPr>
            <w:tcW w:w="2638" w:type="dxa"/>
            <w:tcBorders>
              <w:top w:val="single" w:sz="4" w:space="0" w:color="auto"/>
              <w:bottom w:val="single" w:sz="4" w:space="0" w:color="auto"/>
            </w:tcBorders>
          </w:tcPr>
          <w:p w14:paraId="71EFE1FB"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 ≤25</m:t>
                </m:r>
              </m:oMath>
            </m:oMathPara>
          </w:p>
        </w:tc>
        <w:tc>
          <w:tcPr>
            <w:tcW w:w="1878" w:type="dxa"/>
            <w:tcBorders>
              <w:top w:val="single" w:sz="4" w:space="0" w:color="auto"/>
              <w:bottom w:val="single" w:sz="4" w:space="0" w:color="auto"/>
            </w:tcBorders>
          </w:tcPr>
          <w:p w14:paraId="1ABD4FD3"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0%</m:t>
                </m:r>
              </m:oMath>
            </m:oMathPara>
          </w:p>
        </w:tc>
      </w:tr>
      <w:tr w:rsidR="003C2719" w:rsidRPr="00E52C57" w14:paraId="48CEFF85" w14:textId="77777777" w:rsidTr="001C1799">
        <w:trPr>
          <w:trHeight w:val="313"/>
          <w:jc w:val="center"/>
        </w:trPr>
        <w:tc>
          <w:tcPr>
            <w:tcW w:w="2689" w:type="dxa"/>
            <w:tcBorders>
              <w:top w:val="single" w:sz="4" w:space="0" w:color="auto"/>
              <w:bottom w:val="single" w:sz="4" w:space="0" w:color="auto"/>
            </w:tcBorders>
          </w:tcPr>
          <w:p w14:paraId="425608C3" w14:textId="77777777" w:rsidR="003C2719" w:rsidRPr="00E52C57" w:rsidRDefault="003C2719" w:rsidP="001C1799">
            <w:pPr>
              <w:jc w:val="center"/>
              <w:rPr>
                <w:rFonts w:ascii="Garamond" w:hAnsi="Garamond"/>
                <w:sz w:val="24"/>
                <w:szCs w:val="24"/>
              </w:rPr>
            </w:pPr>
            <w:r w:rsidRPr="00E52C57">
              <w:rPr>
                <w:rFonts w:ascii="Garamond" w:hAnsi="Garamond"/>
                <w:sz w:val="24"/>
                <w:szCs w:val="24"/>
              </w:rPr>
              <w:t>Less Ready</w:t>
            </w:r>
          </w:p>
        </w:tc>
        <w:tc>
          <w:tcPr>
            <w:tcW w:w="2638" w:type="dxa"/>
            <w:tcBorders>
              <w:top w:val="single" w:sz="4" w:space="0" w:color="auto"/>
              <w:bottom w:val="single" w:sz="4" w:space="0" w:color="auto"/>
            </w:tcBorders>
          </w:tcPr>
          <w:p w14:paraId="799AFEDF"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25&lt;x ≤50</m:t>
                </m:r>
              </m:oMath>
            </m:oMathPara>
          </w:p>
        </w:tc>
        <w:tc>
          <w:tcPr>
            <w:tcW w:w="1878" w:type="dxa"/>
            <w:tcBorders>
              <w:top w:val="single" w:sz="4" w:space="0" w:color="auto"/>
              <w:bottom w:val="single" w:sz="4" w:space="0" w:color="auto"/>
            </w:tcBorders>
          </w:tcPr>
          <w:p w14:paraId="4A30AFA4"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6%</m:t>
                </m:r>
              </m:oMath>
            </m:oMathPara>
          </w:p>
        </w:tc>
      </w:tr>
      <w:tr w:rsidR="003C2719" w:rsidRPr="00E52C57" w14:paraId="55D49AA0" w14:textId="77777777" w:rsidTr="001C1799">
        <w:trPr>
          <w:trHeight w:val="313"/>
          <w:jc w:val="center"/>
        </w:trPr>
        <w:tc>
          <w:tcPr>
            <w:tcW w:w="2689" w:type="dxa"/>
            <w:tcBorders>
              <w:top w:val="single" w:sz="4" w:space="0" w:color="auto"/>
              <w:bottom w:val="single" w:sz="4" w:space="0" w:color="auto"/>
            </w:tcBorders>
          </w:tcPr>
          <w:p w14:paraId="482D5C18" w14:textId="77777777" w:rsidR="003C2719" w:rsidRPr="00E52C57" w:rsidRDefault="003C2719" w:rsidP="001C1799">
            <w:pPr>
              <w:jc w:val="center"/>
              <w:rPr>
                <w:rFonts w:ascii="Garamond" w:hAnsi="Garamond"/>
                <w:sz w:val="24"/>
                <w:szCs w:val="24"/>
              </w:rPr>
            </w:pPr>
            <w:r w:rsidRPr="00E52C57">
              <w:rPr>
                <w:rFonts w:ascii="Garamond" w:hAnsi="Garamond"/>
                <w:sz w:val="24"/>
                <w:szCs w:val="24"/>
              </w:rPr>
              <w:t>Ready</w:t>
            </w:r>
          </w:p>
        </w:tc>
        <w:tc>
          <w:tcPr>
            <w:tcW w:w="2638" w:type="dxa"/>
            <w:tcBorders>
              <w:top w:val="single" w:sz="4" w:space="0" w:color="auto"/>
              <w:bottom w:val="single" w:sz="4" w:space="0" w:color="auto"/>
            </w:tcBorders>
          </w:tcPr>
          <w:p w14:paraId="0F32E933"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50&lt;x ≤75</m:t>
                </m:r>
              </m:oMath>
            </m:oMathPara>
          </w:p>
        </w:tc>
        <w:tc>
          <w:tcPr>
            <w:tcW w:w="1878" w:type="dxa"/>
            <w:tcBorders>
              <w:top w:val="single" w:sz="4" w:space="0" w:color="auto"/>
              <w:bottom w:val="single" w:sz="4" w:space="0" w:color="auto"/>
            </w:tcBorders>
          </w:tcPr>
          <w:p w14:paraId="2F291342"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71%</m:t>
                </m:r>
              </m:oMath>
            </m:oMathPara>
          </w:p>
        </w:tc>
      </w:tr>
      <w:tr w:rsidR="003C2719" w:rsidRPr="00E52C57" w14:paraId="566C8A24" w14:textId="77777777" w:rsidTr="001C1799">
        <w:trPr>
          <w:trHeight w:val="313"/>
          <w:jc w:val="center"/>
        </w:trPr>
        <w:tc>
          <w:tcPr>
            <w:tcW w:w="2689" w:type="dxa"/>
            <w:tcBorders>
              <w:top w:val="single" w:sz="4" w:space="0" w:color="auto"/>
              <w:bottom w:val="single" w:sz="4" w:space="0" w:color="auto"/>
            </w:tcBorders>
          </w:tcPr>
          <w:p w14:paraId="583CC92F" w14:textId="77777777" w:rsidR="003C2719" w:rsidRPr="00E52C57" w:rsidRDefault="003C2719" w:rsidP="001C1799">
            <w:pPr>
              <w:jc w:val="center"/>
              <w:rPr>
                <w:rFonts w:ascii="Garamond" w:hAnsi="Garamond"/>
                <w:sz w:val="24"/>
                <w:szCs w:val="24"/>
              </w:rPr>
            </w:pPr>
            <w:r w:rsidRPr="00E52C57">
              <w:rPr>
                <w:rFonts w:ascii="Garamond" w:hAnsi="Garamond"/>
                <w:sz w:val="24"/>
                <w:szCs w:val="24"/>
              </w:rPr>
              <w:t>Highly Ready</w:t>
            </w:r>
          </w:p>
        </w:tc>
        <w:tc>
          <w:tcPr>
            <w:tcW w:w="2638" w:type="dxa"/>
            <w:tcBorders>
              <w:top w:val="single" w:sz="4" w:space="0" w:color="auto"/>
              <w:bottom w:val="single" w:sz="4" w:space="0" w:color="auto"/>
            </w:tcBorders>
          </w:tcPr>
          <w:p w14:paraId="2EFF00D8"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x&gt;75</m:t>
                </m:r>
              </m:oMath>
            </m:oMathPara>
          </w:p>
        </w:tc>
        <w:tc>
          <w:tcPr>
            <w:tcW w:w="1878" w:type="dxa"/>
            <w:tcBorders>
              <w:top w:val="single" w:sz="4" w:space="0" w:color="auto"/>
              <w:bottom w:val="single" w:sz="4" w:space="0" w:color="auto"/>
            </w:tcBorders>
          </w:tcPr>
          <w:p w14:paraId="07D0201C"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22%</m:t>
                </m:r>
              </m:oMath>
            </m:oMathPara>
          </w:p>
        </w:tc>
      </w:tr>
      <w:tr w:rsidR="003C2719" w:rsidRPr="00E52C57" w14:paraId="046A5403" w14:textId="77777777" w:rsidTr="001C1799">
        <w:trPr>
          <w:trHeight w:val="313"/>
          <w:jc w:val="center"/>
        </w:trPr>
        <w:tc>
          <w:tcPr>
            <w:tcW w:w="5327" w:type="dxa"/>
            <w:gridSpan w:val="2"/>
            <w:tcBorders>
              <w:top w:val="single" w:sz="4" w:space="0" w:color="auto"/>
              <w:bottom w:val="single" w:sz="4" w:space="0" w:color="auto"/>
            </w:tcBorders>
          </w:tcPr>
          <w:p w14:paraId="1CFC7B38" w14:textId="77777777" w:rsidR="003C2719" w:rsidRPr="00E52C57" w:rsidRDefault="003C2719" w:rsidP="001C1799">
            <w:pPr>
              <w:jc w:val="center"/>
              <w:rPr>
                <w:rFonts w:ascii="Garamond" w:hAnsi="Garamond"/>
                <w:sz w:val="24"/>
                <w:szCs w:val="24"/>
              </w:rPr>
            </w:pPr>
            <w:r w:rsidRPr="00E52C57">
              <w:rPr>
                <w:rFonts w:ascii="Garamond" w:hAnsi="Garamond"/>
                <w:sz w:val="24"/>
                <w:szCs w:val="24"/>
              </w:rPr>
              <w:t>Total</w:t>
            </w:r>
          </w:p>
        </w:tc>
        <w:tc>
          <w:tcPr>
            <w:tcW w:w="1878" w:type="dxa"/>
            <w:tcBorders>
              <w:top w:val="single" w:sz="4" w:space="0" w:color="auto"/>
              <w:bottom w:val="single" w:sz="4" w:space="0" w:color="auto"/>
            </w:tcBorders>
          </w:tcPr>
          <w:p w14:paraId="1D0FDBA7"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100%</m:t>
                </m:r>
              </m:oMath>
            </m:oMathPara>
          </w:p>
        </w:tc>
      </w:tr>
    </w:tbl>
    <w:p w14:paraId="7E25AF5C" w14:textId="77777777" w:rsidR="003C2719" w:rsidRPr="00E52C57" w:rsidRDefault="003C2719" w:rsidP="003C2719">
      <w:pPr>
        <w:spacing w:after="0" w:line="360" w:lineRule="auto"/>
        <w:jc w:val="both"/>
        <w:rPr>
          <w:rFonts w:ascii="Garamond" w:hAnsi="Garamond"/>
          <w:b/>
          <w:bCs/>
          <w:i/>
          <w:iCs/>
          <w:sz w:val="24"/>
          <w:szCs w:val="24"/>
        </w:rPr>
      </w:pPr>
    </w:p>
    <w:p w14:paraId="06C54613" w14:textId="77777777" w:rsidR="003C2719" w:rsidRPr="00E52C57" w:rsidRDefault="003C2719" w:rsidP="003C2719">
      <w:pPr>
        <w:spacing w:after="0" w:line="360" w:lineRule="auto"/>
        <w:jc w:val="both"/>
        <w:rPr>
          <w:rFonts w:ascii="Garamond" w:hAnsi="Garamond"/>
          <w:b/>
          <w:bCs/>
          <w:i/>
          <w:iCs/>
          <w:sz w:val="24"/>
          <w:szCs w:val="24"/>
        </w:rPr>
      </w:pPr>
      <w:r w:rsidRPr="00E52C57">
        <w:rPr>
          <w:rFonts w:ascii="Garamond" w:hAnsi="Garamond"/>
          <w:b/>
          <w:bCs/>
          <w:i/>
          <w:iCs/>
          <w:sz w:val="24"/>
          <w:szCs w:val="24"/>
        </w:rPr>
        <w:t xml:space="preserve">Factual </w:t>
      </w:r>
    </w:p>
    <w:p w14:paraId="591DFEDF" w14:textId="77777777" w:rsidR="003C2719" w:rsidRPr="00E52C57" w:rsidRDefault="003C2719" w:rsidP="003C2719">
      <w:pPr>
        <w:spacing w:after="0" w:line="360" w:lineRule="auto"/>
        <w:ind w:firstLine="720"/>
        <w:jc w:val="both"/>
        <w:rPr>
          <w:rFonts w:ascii="Garamond" w:hAnsi="Garamond"/>
          <w:sz w:val="24"/>
          <w:szCs w:val="24"/>
        </w:rPr>
      </w:pPr>
      <w:r w:rsidRPr="00E52C57">
        <w:rPr>
          <w:rFonts w:ascii="Garamond" w:hAnsi="Garamond"/>
          <w:sz w:val="24"/>
          <w:szCs w:val="24"/>
        </w:rPr>
        <w:t>The results of the survey of teacher readiness in implementing the Independent Learning Curriculum show that in the knowledge dimension with factual indicators, teachers obtained a percentage of 66% in the “ready” category and 29% in the “highly ready” category, as shown in the following table.</w:t>
      </w:r>
    </w:p>
    <w:p w14:paraId="6EC7A526" w14:textId="77777777" w:rsidR="003C2719" w:rsidRPr="00E52C57" w:rsidRDefault="003C2719" w:rsidP="003C2719">
      <w:pPr>
        <w:spacing w:after="0" w:line="240" w:lineRule="auto"/>
        <w:jc w:val="center"/>
        <w:rPr>
          <w:rFonts w:ascii="Garamond" w:hAnsi="Garamond"/>
          <w:sz w:val="24"/>
          <w:szCs w:val="24"/>
        </w:rPr>
      </w:pPr>
      <w:r w:rsidRPr="00E52C57">
        <w:rPr>
          <w:rFonts w:ascii="Garamond" w:hAnsi="Garamond"/>
          <w:b/>
          <w:bCs/>
          <w:sz w:val="24"/>
          <w:szCs w:val="24"/>
        </w:rPr>
        <w:t>Table 3.</w:t>
      </w:r>
      <w:r w:rsidRPr="00E52C57">
        <w:rPr>
          <w:rFonts w:ascii="Garamond" w:hAnsi="Garamond"/>
          <w:sz w:val="24"/>
          <w:szCs w:val="24"/>
        </w:rPr>
        <w:t xml:space="preserve"> Results of the Madrasah Readiness Survey in Implementing the Independent Learning Curriculum at MTsN 1 Bone with Factual Indicators</w:t>
      </w:r>
    </w:p>
    <w:tbl>
      <w:tblPr>
        <w:tblStyle w:val="TableGrid"/>
        <w:tblW w:w="7065"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58"/>
        <w:gridCol w:w="1703"/>
        <w:gridCol w:w="2504"/>
      </w:tblGrid>
      <w:tr w:rsidR="003C2719" w:rsidRPr="00E52C57" w14:paraId="172AF4F5" w14:textId="77777777" w:rsidTr="001C1799">
        <w:trPr>
          <w:trHeight w:val="323"/>
        </w:trPr>
        <w:tc>
          <w:tcPr>
            <w:tcW w:w="2858" w:type="dxa"/>
            <w:tcBorders>
              <w:top w:val="single" w:sz="4" w:space="0" w:color="auto"/>
              <w:bottom w:val="single" w:sz="4" w:space="0" w:color="auto"/>
            </w:tcBorders>
          </w:tcPr>
          <w:p w14:paraId="7C179178"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Criteria</w:t>
            </w:r>
          </w:p>
        </w:tc>
        <w:tc>
          <w:tcPr>
            <w:tcW w:w="1703" w:type="dxa"/>
            <w:tcBorders>
              <w:top w:val="single" w:sz="4" w:space="0" w:color="auto"/>
              <w:bottom w:val="single" w:sz="4" w:space="0" w:color="auto"/>
            </w:tcBorders>
          </w:tcPr>
          <w:p w14:paraId="2F34B3BD"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Score</w:t>
            </w:r>
          </w:p>
        </w:tc>
        <w:tc>
          <w:tcPr>
            <w:tcW w:w="2504" w:type="dxa"/>
            <w:tcBorders>
              <w:top w:val="single" w:sz="4" w:space="0" w:color="auto"/>
              <w:bottom w:val="single" w:sz="4" w:space="0" w:color="auto"/>
            </w:tcBorders>
          </w:tcPr>
          <w:p w14:paraId="13E018FA"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Percentage</w:t>
            </w:r>
          </w:p>
        </w:tc>
      </w:tr>
      <w:tr w:rsidR="003C2719" w:rsidRPr="00E52C57" w14:paraId="4D551DA0" w14:textId="77777777" w:rsidTr="001C1799">
        <w:trPr>
          <w:trHeight w:val="323"/>
        </w:trPr>
        <w:tc>
          <w:tcPr>
            <w:tcW w:w="2858" w:type="dxa"/>
            <w:tcBorders>
              <w:top w:val="single" w:sz="4" w:space="0" w:color="auto"/>
              <w:bottom w:val="single" w:sz="4" w:space="0" w:color="auto"/>
            </w:tcBorders>
          </w:tcPr>
          <w:p w14:paraId="66040F14" w14:textId="77777777" w:rsidR="003C2719" w:rsidRPr="00E52C57" w:rsidRDefault="003C2719" w:rsidP="001C1799">
            <w:pPr>
              <w:jc w:val="center"/>
              <w:rPr>
                <w:rFonts w:ascii="Garamond" w:hAnsi="Garamond"/>
                <w:sz w:val="24"/>
                <w:szCs w:val="24"/>
              </w:rPr>
            </w:pPr>
            <w:r w:rsidRPr="00E52C57">
              <w:rPr>
                <w:rFonts w:ascii="Garamond" w:hAnsi="Garamond"/>
                <w:sz w:val="24"/>
                <w:szCs w:val="24"/>
              </w:rPr>
              <w:t>Not Ready</w:t>
            </w:r>
          </w:p>
        </w:tc>
        <w:tc>
          <w:tcPr>
            <w:tcW w:w="1703" w:type="dxa"/>
            <w:tcBorders>
              <w:top w:val="single" w:sz="4" w:space="0" w:color="auto"/>
              <w:bottom w:val="single" w:sz="4" w:space="0" w:color="auto"/>
            </w:tcBorders>
          </w:tcPr>
          <w:p w14:paraId="44C35552"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 ≤25</m:t>
                </m:r>
              </m:oMath>
            </m:oMathPara>
          </w:p>
        </w:tc>
        <w:tc>
          <w:tcPr>
            <w:tcW w:w="2504" w:type="dxa"/>
            <w:tcBorders>
              <w:top w:val="single" w:sz="4" w:space="0" w:color="auto"/>
              <w:bottom w:val="single" w:sz="4" w:space="0" w:color="auto"/>
            </w:tcBorders>
          </w:tcPr>
          <w:p w14:paraId="14AD0994"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m:t>
                </m:r>
              </m:oMath>
            </m:oMathPara>
          </w:p>
        </w:tc>
      </w:tr>
      <w:tr w:rsidR="003C2719" w:rsidRPr="00E52C57" w14:paraId="41BAB9E1" w14:textId="77777777" w:rsidTr="001C1799">
        <w:trPr>
          <w:trHeight w:val="323"/>
        </w:trPr>
        <w:tc>
          <w:tcPr>
            <w:tcW w:w="2858" w:type="dxa"/>
            <w:tcBorders>
              <w:top w:val="single" w:sz="4" w:space="0" w:color="auto"/>
              <w:bottom w:val="single" w:sz="4" w:space="0" w:color="auto"/>
            </w:tcBorders>
          </w:tcPr>
          <w:p w14:paraId="555E5911" w14:textId="77777777" w:rsidR="003C2719" w:rsidRPr="00E52C57" w:rsidRDefault="003C2719" w:rsidP="001C1799">
            <w:pPr>
              <w:jc w:val="center"/>
              <w:rPr>
                <w:rFonts w:ascii="Garamond" w:hAnsi="Garamond"/>
                <w:sz w:val="24"/>
                <w:szCs w:val="24"/>
              </w:rPr>
            </w:pPr>
            <w:r w:rsidRPr="00E52C57">
              <w:rPr>
                <w:rFonts w:ascii="Garamond" w:hAnsi="Garamond"/>
                <w:sz w:val="24"/>
                <w:szCs w:val="24"/>
              </w:rPr>
              <w:t>Less Ready</w:t>
            </w:r>
          </w:p>
        </w:tc>
        <w:tc>
          <w:tcPr>
            <w:tcW w:w="1703" w:type="dxa"/>
            <w:tcBorders>
              <w:top w:val="single" w:sz="4" w:space="0" w:color="auto"/>
              <w:bottom w:val="single" w:sz="4" w:space="0" w:color="auto"/>
            </w:tcBorders>
          </w:tcPr>
          <w:p w14:paraId="1F8BC821"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25&lt;x ≤50</m:t>
                </m:r>
              </m:oMath>
            </m:oMathPara>
          </w:p>
        </w:tc>
        <w:tc>
          <w:tcPr>
            <w:tcW w:w="2504" w:type="dxa"/>
            <w:tcBorders>
              <w:top w:val="single" w:sz="4" w:space="0" w:color="auto"/>
              <w:bottom w:val="single" w:sz="4" w:space="0" w:color="auto"/>
            </w:tcBorders>
          </w:tcPr>
          <w:p w14:paraId="5089637E"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4%</m:t>
                </m:r>
              </m:oMath>
            </m:oMathPara>
          </w:p>
        </w:tc>
      </w:tr>
      <w:tr w:rsidR="003C2719" w:rsidRPr="00E52C57" w14:paraId="44AEE6AB" w14:textId="77777777" w:rsidTr="001C1799">
        <w:trPr>
          <w:trHeight w:val="323"/>
        </w:trPr>
        <w:tc>
          <w:tcPr>
            <w:tcW w:w="2858" w:type="dxa"/>
            <w:tcBorders>
              <w:top w:val="single" w:sz="4" w:space="0" w:color="auto"/>
              <w:bottom w:val="single" w:sz="4" w:space="0" w:color="auto"/>
            </w:tcBorders>
          </w:tcPr>
          <w:p w14:paraId="3379D62A" w14:textId="77777777" w:rsidR="003C2719" w:rsidRPr="00E52C57" w:rsidRDefault="003C2719" w:rsidP="001C1799">
            <w:pPr>
              <w:jc w:val="center"/>
              <w:rPr>
                <w:rFonts w:ascii="Garamond" w:hAnsi="Garamond"/>
                <w:sz w:val="24"/>
                <w:szCs w:val="24"/>
              </w:rPr>
            </w:pPr>
            <w:r w:rsidRPr="00E52C57">
              <w:rPr>
                <w:rFonts w:ascii="Garamond" w:hAnsi="Garamond"/>
                <w:sz w:val="24"/>
                <w:szCs w:val="24"/>
              </w:rPr>
              <w:t>Ready</w:t>
            </w:r>
          </w:p>
        </w:tc>
        <w:tc>
          <w:tcPr>
            <w:tcW w:w="1703" w:type="dxa"/>
            <w:tcBorders>
              <w:top w:val="single" w:sz="4" w:space="0" w:color="auto"/>
              <w:bottom w:val="single" w:sz="4" w:space="0" w:color="auto"/>
            </w:tcBorders>
          </w:tcPr>
          <w:p w14:paraId="6419D289"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50&lt;x ≤75</m:t>
                </m:r>
              </m:oMath>
            </m:oMathPara>
          </w:p>
        </w:tc>
        <w:tc>
          <w:tcPr>
            <w:tcW w:w="2504" w:type="dxa"/>
            <w:tcBorders>
              <w:top w:val="single" w:sz="4" w:space="0" w:color="auto"/>
              <w:bottom w:val="single" w:sz="4" w:space="0" w:color="auto"/>
            </w:tcBorders>
          </w:tcPr>
          <w:p w14:paraId="4DAEC456"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66%</m:t>
                </m:r>
              </m:oMath>
            </m:oMathPara>
          </w:p>
        </w:tc>
      </w:tr>
      <w:tr w:rsidR="003C2719" w:rsidRPr="00E52C57" w14:paraId="21F1A38E" w14:textId="77777777" w:rsidTr="001C1799">
        <w:trPr>
          <w:trHeight w:val="323"/>
        </w:trPr>
        <w:tc>
          <w:tcPr>
            <w:tcW w:w="2858" w:type="dxa"/>
            <w:tcBorders>
              <w:top w:val="single" w:sz="4" w:space="0" w:color="auto"/>
              <w:bottom w:val="single" w:sz="4" w:space="0" w:color="auto"/>
            </w:tcBorders>
          </w:tcPr>
          <w:p w14:paraId="04D3F648" w14:textId="77777777" w:rsidR="003C2719" w:rsidRPr="00E52C57" w:rsidRDefault="003C2719" w:rsidP="001C1799">
            <w:pPr>
              <w:jc w:val="center"/>
              <w:rPr>
                <w:rFonts w:ascii="Garamond" w:hAnsi="Garamond"/>
                <w:sz w:val="24"/>
                <w:szCs w:val="24"/>
              </w:rPr>
            </w:pPr>
            <w:r w:rsidRPr="00E52C57">
              <w:rPr>
                <w:rFonts w:ascii="Garamond" w:hAnsi="Garamond"/>
                <w:sz w:val="24"/>
                <w:szCs w:val="24"/>
              </w:rPr>
              <w:t>Highly Ready</w:t>
            </w:r>
          </w:p>
        </w:tc>
        <w:tc>
          <w:tcPr>
            <w:tcW w:w="1703" w:type="dxa"/>
            <w:tcBorders>
              <w:top w:val="single" w:sz="4" w:space="0" w:color="auto"/>
              <w:bottom w:val="single" w:sz="4" w:space="0" w:color="auto"/>
            </w:tcBorders>
          </w:tcPr>
          <w:p w14:paraId="529BD88F"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x&gt;75</m:t>
                </m:r>
              </m:oMath>
            </m:oMathPara>
          </w:p>
        </w:tc>
        <w:tc>
          <w:tcPr>
            <w:tcW w:w="2504" w:type="dxa"/>
            <w:tcBorders>
              <w:top w:val="single" w:sz="4" w:space="0" w:color="auto"/>
              <w:bottom w:val="single" w:sz="4" w:space="0" w:color="auto"/>
            </w:tcBorders>
          </w:tcPr>
          <w:p w14:paraId="3FCFCCD3"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29%</m:t>
                </m:r>
              </m:oMath>
            </m:oMathPara>
          </w:p>
        </w:tc>
      </w:tr>
      <w:tr w:rsidR="003C2719" w:rsidRPr="00E52C57" w14:paraId="1EAC8AD2" w14:textId="77777777" w:rsidTr="001C1799">
        <w:trPr>
          <w:trHeight w:val="323"/>
        </w:trPr>
        <w:tc>
          <w:tcPr>
            <w:tcW w:w="4561" w:type="dxa"/>
            <w:gridSpan w:val="2"/>
            <w:tcBorders>
              <w:top w:val="single" w:sz="4" w:space="0" w:color="auto"/>
              <w:bottom w:val="single" w:sz="4" w:space="0" w:color="auto"/>
            </w:tcBorders>
          </w:tcPr>
          <w:p w14:paraId="4E1C3D73" w14:textId="77777777" w:rsidR="003C2719" w:rsidRPr="00E52C57" w:rsidRDefault="003C2719" w:rsidP="001C1799">
            <w:pPr>
              <w:jc w:val="center"/>
              <w:rPr>
                <w:rFonts w:ascii="Garamond" w:hAnsi="Garamond"/>
                <w:sz w:val="24"/>
                <w:szCs w:val="24"/>
              </w:rPr>
            </w:pPr>
            <w:r w:rsidRPr="00E52C57">
              <w:rPr>
                <w:rFonts w:ascii="Garamond" w:hAnsi="Garamond"/>
                <w:sz w:val="24"/>
                <w:szCs w:val="24"/>
              </w:rPr>
              <w:t>Total</w:t>
            </w:r>
          </w:p>
        </w:tc>
        <w:tc>
          <w:tcPr>
            <w:tcW w:w="2504" w:type="dxa"/>
            <w:tcBorders>
              <w:top w:val="single" w:sz="4" w:space="0" w:color="auto"/>
              <w:bottom w:val="single" w:sz="4" w:space="0" w:color="auto"/>
            </w:tcBorders>
          </w:tcPr>
          <w:p w14:paraId="2C6E4DD4"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100%</m:t>
                </m:r>
              </m:oMath>
            </m:oMathPara>
          </w:p>
        </w:tc>
      </w:tr>
    </w:tbl>
    <w:p w14:paraId="5C5654BB" w14:textId="77777777" w:rsidR="003C2719" w:rsidRPr="00E52C57" w:rsidRDefault="003C2719" w:rsidP="003C2719">
      <w:pPr>
        <w:pStyle w:val="ListParagraph"/>
        <w:spacing w:after="0" w:line="360" w:lineRule="auto"/>
        <w:ind w:left="0" w:firstLine="709"/>
        <w:jc w:val="both"/>
        <w:rPr>
          <w:rFonts w:ascii="Garamond" w:hAnsi="Garamond"/>
          <w:sz w:val="24"/>
          <w:szCs w:val="24"/>
        </w:rPr>
      </w:pPr>
    </w:p>
    <w:p w14:paraId="76FD7DD8" w14:textId="77777777" w:rsidR="003C2719" w:rsidRPr="00E52C57" w:rsidRDefault="003C2719" w:rsidP="003C2719">
      <w:pPr>
        <w:pStyle w:val="ListParagraph"/>
        <w:spacing w:after="0" w:line="360" w:lineRule="auto"/>
        <w:ind w:left="0" w:firstLine="709"/>
        <w:jc w:val="both"/>
        <w:rPr>
          <w:rFonts w:ascii="Garamond" w:hAnsi="Garamond"/>
          <w:sz w:val="24"/>
          <w:szCs w:val="24"/>
        </w:rPr>
      </w:pPr>
      <w:r w:rsidRPr="00E52C57">
        <w:rPr>
          <w:rFonts w:ascii="Garamond" w:hAnsi="Garamond"/>
          <w:sz w:val="24"/>
          <w:szCs w:val="24"/>
        </w:rPr>
        <w:t>Based on interviews with the Vice Principal for Curriculum and several teachers at MTsN 1 Bone, it was stated that all teachers were already aware of the Independent Learning Curriculum, but still needed a lot of learning in its implementation. The Independent Learning Curriculum has been implemented, especially in grade VII for the 2023/2024 academic year.</w:t>
      </w:r>
    </w:p>
    <w:p w14:paraId="75D1C798" w14:textId="77777777" w:rsidR="003C2719" w:rsidRPr="00E52C57" w:rsidRDefault="003C2719" w:rsidP="003C2719">
      <w:pPr>
        <w:pStyle w:val="ListParagraph"/>
        <w:spacing w:after="0" w:line="360" w:lineRule="auto"/>
        <w:ind w:left="0" w:firstLine="709"/>
        <w:jc w:val="both"/>
        <w:rPr>
          <w:rFonts w:ascii="Garamond" w:hAnsi="Garamond"/>
          <w:sz w:val="24"/>
          <w:szCs w:val="24"/>
          <w:lang w:val="en-ID"/>
        </w:rPr>
      </w:pPr>
      <w:r w:rsidRPr="00E52C57">
        <w:rPr>
          <w:rFonts w:ascii="Garamond" w:hAnsi="Garamond"/>
          <w:sz w:val="24"/>
          <w:szCs w:val="24"/>
        </w:rPr>
        <w:lastRenderedPageBreak/>
        <w:t>Based on the results of the study above, it can be concluded that all teachers at MTsN 1 Bone have knowledge and understanding of the concept of the Independent Learning Curriculum, but still need a lot of learning.</w:t>
      </w:r>
    </w:p>
    <w:p w14:paraId="4F1DB143" w14:textId="77777777" w:rsidR="005D07FB" w:rsidRPr="00E52C57" w:rsidRDefault="005D07FB" w:rsidP="003C2719">
      <w:pPr>
        <w:spacing w:after="0" w:line="360" w:lineRule="auto"/>
        <w:jc w:val="both"/>
        <w:rPr>
          <w:rFonts w:ascii="Garamond" w:hAnsi="Garamond"/>
          <w:b/>
          <w:bCs/>
          <w:i/>
          <w:iCs/>
          <w:sz w:val="24"/>
          <w:szCs w:val="24"/>
        </w:rPr>
      </w:pPr>
    </w:p>
    <w:p w14:paraId="1F07A4D9" w14:textId="77777777" w:rsidR="003C2719" w:rsidRPr="00E52C57" w:rsidRDefault="003C2719" w:rsidP="003C2719">
      <w:pPr>
        <w:spacing w:after="0" w:line="360" w:lineRule="auto"/>
        <w:jc w:val="both"/>
        <w:rPr>
          <w:rFonts w:ascii="Garamond" w:hAnsi="Garamond"/>
          <w:b/>
          <w:bCs/>
          <w:i/>
          <w:iCs/>
          <w:sz w:val="24"/>
          <w:szCs w:val="24"/>
        </w:rPr>
      </w:pPr>
      <w:r w:rsidRPr="00E52C57">
        <w:rPr>
          <w:rFonts w:ascii="Garamond" w:hAnsi="Garamond"/>
          <w:b/>
          <w:bCs/>
          <w:i/>
          <w:iCs/>
          <w:sz w:val="24"/>
          <w:szCs w:val="24"/>
        </w:rPr>
        <w:t>Conceptual</w:t>
      </w:r>
    </w:p>
    <w:p w14:paraId="034BE56A" w14:textId="77777777" w:rsidR="003C2719" w:rsidRDefault="003C2719" w:rsidP="003C2719">
      <w:pPr>
        <w:spacing w:after="0" w:line="360" w:lineRule="auto"/>
        <w:ind w:firstLine="720"/>
        <w:jc w:val="both"/>
        <w:rPr>
          <w:rFonts w:ascii="Garamond" w:hAnsi="Garamond"/>
          <w:sz w:val="24"/>
          <w:szCs w:val="24"/>
        </w:rPr>
      </w:pPr>
      <w:r w:rsidRPr="00E52C57">
        <w:rPr>
          <w:rFonts w:ascii="Garamond" w:hAnsi="Garamond"/>
          <w:sz w:val="24"/>
          <w:szCs w:val="24"/>
        </w:rPr>
        <w:t>The results of the conceptual indicator survey show that 59% of teachers are in the “ready” category, 13% are in the “less ready” category, and 27% are in the “highly ready” category, as shown in the following table.</w:t>
      </w:r>
    </w:p>
    <w:p w14:paraId="45AFB8BD" w14:textId="77777777" w:rsidR="00E00AC1" w:rsidRPr="00E52C57" w:rsidRDefault="00E00AC1" w:rsidP="003C2719">
      <w:pPr>
        <w:spacing w:after="0" w:line="360" w:lineRule="auto"/>
        <w:ind w:firstLine="720"/>
        <w:jc w:val="both"/>
        <w:rPr>
          <w:rFonts w:ascii="Garamond" w:hAnsi="Garamond"/>
          <w:sz w:val="24"/>
          <w:szCs w:val="24"/>
        </w:rPr>
      </w:pPr>
    </w:p>
    <w:p w14:paraId="11ACB90D" w14:textId="77777777" w:rsidR="003C2719" w:rsidRPr="00E52C57" w:rsidRDefault="003C2719" w:rsidP="003C2719">
      <w:pPr>
        <w:spacing w:after="0" w:line="240" w:lineRule="auto"/>
        <w:jc w:val="center"/>
        <w:rPr>
          <w:rFonts w:ascii="Garamond" w:hAnsi="Garamond"/>
          <w:sz w:val="24"/>
          <w:szCs w:val="24"/>
        </w:rPr>
      </w:pPr>
      <w:r w:rsidRPr="00E52C57">
        <w:rPr>
          <w:rFonts w:ascii="Garamond" w:hAnsi="Garamond"/>
          <w:b/>
          <w:bCs/>
          <w:sz w:val="24"/>
          <w:szCs w:val="24"/>
        </w:rPr>
        <w:t>Table 4.</w:t>
      </w:r>
      <w:r w:rsidRPr="00E52C57">
        <w:rPr>
          <w:rFonts w:ascii="Garamond" w:hAnsi="Garamond"/>
          <w:sz w:val="24"/>
          <w:szCs w:val="24"/>
        </w:rPr>
        <w:t xml:space="preserve"> Results of the Madrasah Readiness Survey in Implementing the Independent Learning Curriculum at MTsN 1 Bone with Conceptual Indicators</w:t>
      </w:r>
    </w:p>
    <w:tbl>
      <w:tblPr>
        <w:tblStyle w:val="TableGrid"/>
        <w:tblW w:w="6946" w:type="dxa"/>
        <w:tblInd w:w="9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03"/>
        <w:gridCol w:w="3768"/>
        <w:gridCol w:w="1675"/>
      </w:tblGrid>
      <w:tr w:rsidR="003C2719" w:rsidRPr="00E52C57" w14:paraId="7D86A83B" w14:textId="77777777" w:rsidTr="001C1799">
        <w:trPr>
          <w:trHeight w:val="279"/>
        </w:trPr>
        <w:tc>
          <w:tcPr>
            <w:tcW w:w="1503" w:type="dxa"/>
            <w:tcBorders>
              <w:top w:val="single" w:sz="4" w:space="0" w:color="auto"/>
              <w:bottom w:val="single" w:sz="4" w:space="0" w:color="auto"/>
            </w:tcBorders>
          </w:tcPr>
          <w:p w14:paraId="2A43DB47"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Criteria</w:t>
            </w:r>
          </w:p>
        </w:tc>
        <w:tc>
          <w:tcPr>
            <w:tcW w:w="3768" w:type="dxa"/>
            <w:tcBorders>
              <w:top w:val="single" w:sz="4" w:space="0" w:color="auto"/>
              <w:bottom w:val="single" w:sz="4" w:space="0" w:color="auto"/>
            </w:tcBorders>
          </w:tcPr>
          <w:p w14:paraId="083FFC14"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Score</w:t>
            </w:r>
          </w:p>
        </w:tc>
        <w:tc>
          <w:tcPr>
            <w:tcW w:w="1675" w:type="dxa"/>
            <w:tcBorders>
              <w:top w:val="single" w:sz="4" w:space="0" w:color="auto"/>
              <w:bottom w:val="single" w:sz="4" w:space="0" w:color="auto"/>
            </w:tcBorders>
          </w:tcPr>
          <w:p w14:paraId="19B6311B"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Percentage</w:t>
            </w:r>
          </w:p>
        </w:tc>
      </w:tr>
      <w:tr w:rsidR="003C2719" w:rsidRPr="00E52C57" w14:paraId="59DE6BF8" w14:textId="77777777" w:rsidTr="001C1799">
        <w:trPr>
          <w:trHeight w:val="279"/>
        </w:trPr>
        <w:tc>
          <w:tcPr>
            <w:tcW w:w="1503" w:type="dxa"/>
            <w:tcBorders>
              <w:top w:val="single" w:sz="4" w:space="0" w:color="auto"/>
              <w:bottom w:val="single" w:sz="4" w:space="0" w:color="auto"/>
            </w:tcBorders>
          </w:tcPr>
          <w:p w14:paraId="31F0CDF4" w14:textId="77777777" w:rsidR="003C2719" w:rsidRPr="00E52C57" w:rsidRDefault="003C2719" w:rsidP="001C1799">
            <w:pPr>
              <w:jc w:val="center"/>
              <w:rPr>
                <w:rFonts w:ascii="Garamond" w:hAnsi="Garamond"/>
                <w:sz w:val="24"/>
                <w:szCs w:val="24"/>
              </w:rPr>
            </w:pPr>
            <w:r w:rsidRPr="00E52C57">
              <w:rPr>
                <w:rFonts w:ascii="Garamond" w:hAnsi="Garamond"/>
                <w:sz w:val="24"/>
                <w:szCs w:val="24"/>
              </w:rPr>
              <w:t>Not Ready</w:t>
            </w:r>
          </w:p>
        </w:tc>
        <w:tc>
          <w:tcPr>
            <w:tcW w:w="3768" w:type="dxa"/>
            <w:tcBorders>
              <w:top w:val="single" w:sz="4" w:space="0" w:color="auto"/>
              <w:bottom w:val="single" w:sz="4" w:space="0" w:color="auto"/>
            </w:tcBorders>
          </w:tcPr>
          <w:p w14:paraId="7E19E07B"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 ≤25</m:t>
                </m:r>
              </m:oMath>
            </m:oMathPara>
          </w:p>
        </w:tc>
        <w:tc>
          <w:tcPr>
            <w:tcW w:w="1675" w:type="dxa"/>
            <w:tcBorders>
              <w:top w:val="single" w:sz="4" w:space="0" w:color="auto"/>
              <w:bottom w:val="single" w:sz="4" w:space="0" w:color="auto"/>
            </w:tcBorders>
          </w:tcPr>
          <w:p w14:paraId="41C5BC87"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m:t>
                </m:r>
              </m:oMath>
            </m:oMathPara>
          </w:p>
        </w:tc>
      </w:tr>
      <w:tr w:rsidR="003C2719" w:rsidRPr="00E52C57" w14:paraId="0A18D7D2" w14:textId="77777777" w:rsidTr="001C1799">
        <w:trPr>
          <w:trHeight w:val="279"/>
        </w:trPr>
        <w:tc>
          <w:tcPr>
            <w:tcW w:w="1503" w:type="dxa"/>
            <w:tcBorders>
              <w:top w:val="single" w:sz="4" w:space="0" w:color="auto"/>
              <w:bottom w:val="single" w:sz="4" w:space="0" w:color="auto"/>
            </w:tcBorders>
          </w:tcPr>
          <w:p w14:paraId="44E0FCA2" w14:textId="77777777" w:rsidR="003C2719" w:rsidRPr="00E52C57" w:rsidRDefault="003C2719" w:rsidP="001C1799">
            <w:pPr>
              <w:jc w:val="center"/>
              <w:rPr>
                <w:rFonts w:ascii="Garamond" w:hAnsi="Garamond"/>
                <w:sz w:val="24"/>
                <w:szCs w:val="24"/>
              </w:rPr>
            </w:pPr>
            <w:r w:rsidRPr="00E52C57">
              <w:rPr>
                <w:rFonts w:ascii="Garamond" w:hAnsi="Garamond"/>
                <w:sz w:val="24"/>
                <w:szCs w:val="24"/>
              </w:rPr>
              <w:t>Less Ready</w:t>
            </w:r>
          </w:p>
        </w:tc>
        <w:tc>
          <w:tcPr>
            <w:tcW w:w="3768" w:type="dxa"/>
            <w:tcBorders>
              <w:top w:val="single" w:sz="4" w:space="0" w:color="auto"/>
              <w:bottom w:val="single" w:sz="4" w:space="0" w:color="auto"/>
            </w:tcBorders>
          </w:tcPr>
          <w:p w14:paraId="0648B024"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25&lt;x ≤50</m:t>
                </m:r>
              </m:oMath>
            </m:oMathPara>
          </w:p>
        </w:tc>
        <w:tc>
          <w:tcPr>
            <w:tcW w:w="1675" w:type="dxa"/>
            <w:tcBorders>
              <w:top w:val="single" w:sz="4" w:space="0" w:color="auto"/>
              <w:bottom w:val="single" w:sz="4" w:space="0" w:color="auto"/>
            </w:tcBorders>
          </w:tcPr>
          <w:p w14:paraId="2D9A0E06"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13%</m:t>
                </m:r>
              </m:oMath>
            </m:oMathPara>
          </w:p>
        </w:tc>
      </w:tr>
      <w:tr w:rsidR="003C2719" w:rsidRPr="00E52C57" w14:paraId="36EE1C82" w14:textId="77777777" w:rsidTr="001C1799">
        <w:trPr>
          <w:trHeight w:val="279"/>
        </w:trPr>
        <w:tc>
          <w:tcPr>
            <w:tcW w:w="1503" w:type="dxa"/>
            <w:tcBorders>
              <w:top w:val="single" w:sz="4" w:space="0" w:color="auto"/>
              <w:bottom w:val="single" w:sz="4" w:space="0" w:color="auto"/>
            </w:tcBorders>
          </w:tcPr>
          <w:p w14:paraId="761C4C62" w14:textId="77777777" w:rsidR="003C2719" w:rsidRPr="00E52C57" w:rsidRDefault="003C2719" w:rsidP="001C1799">
            <w:pPr>
              <w:jc w:val="center"/>
              <w:rPr>
                <w:rFonts w:ascii="Garamond" w:hAnsi="Garamond"/>
                <w:sz w:val="24"/>
                <w:szCs w:val="24"/>
              </w:rPr>
            </w:pPr>
            <w:r w:rsidRPr="00E52C57">
              <w:rPr>
                <w:rFonts w:ascii="Garamond" w:hAnsi="Garamond"/>
                <w:sz w:val="24"/>
                <w:szCs w:val="24"/>
              </w:rPr>
              <w:t>Ready</w:t>
            </w:r>
          </w:p>
        </w:tc>
        <w:tc>
          <w:tcPr>
            <w:tcW w:w="3768" w:type="dxa"/>
            <w:tcBorders>
              <w:top w:val="single" w:sz="4" w:space="0" w:color="auto"/>
              <w:bottom w:val="single" w:sz="4" w:space="0" w:color="auto"/>
            </w:tcBorders>
          </w:tcPr>
          <w:p w14:paraId="36AB352D"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50&lt;x ≤75</m:t>
                </m:r>
              </m:oMath>
            </m:oMathPara>
          </w:p>
        </w:tc>
        <w:tc>
          <w:tcPr>
            <w:tcW w:w="1675" w:type="dxa"/>
            <w:tcBorders>
              <w:top w:val="single" w:sz="4" w:space="0" w:color="auto"/>
              <w:bottom w:val="single" w:sz="4" w:space="0" w:color="auto"/>
            </w:tcBorders>
          </w:tcPr>
          <w:p w14:paraId="6123D6A3"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59%</m:t>
                </m:r>
              </m:oMath>
            </m:oMathPara>
          </w:p>
        </w:tc>
      </w:tr>
      <w:tr w:rsidR="003C2719" w:rsidRPr="00E52C57" w14:paraId="5016639F" w14:textId="77777777" w:rsidTr="001C1799">
        <w:trPr>
          <w:trHeight w:val="279"/>
        </w:trPr>
        <w:tc>
          <w:tcPr>
            <w:tcW w:w="1503" w:type="dxa"/>
            <w:tcBorders>
              <w:top w:val="single" w:sz="4" w:space="0" w:color="auto"/>
              <w:bottom w:val="single" w:sz="4" w:space="0" w:color="auto"/>
            </w:tcBorders>
          </w:tcPr>
          <w:p w14:paraId="67C87347" w14:textId="77777777" w:rsidR="003C2719" w:rsidRPr="00E52C57" w:rsidRDefault="003C2719" w:rsidP="001C1799">
            <w:pPr>
              <w:jc w:val="center"/>
              <w:rPr>
                <w:rFonts w:ascii="Garamond" w:hAnsi="Garamond"/>
                <w:sz w:val="24"/>
                <w:szCs w:val="24"/>
              </w:rPr>
            </w:pPr>
            <w:r w:rsidRPr="00E52C57">
              <w:rPr>
                <w:rFonts w:ascii="Garamond" w:hAnsi="Garamond"/>
                <w:sz w:val="24"/>
                <w:szCs w:val="24"/>
              </w:rPr>
              <w:t>Highly Ready</w:t>
            </w:r>
          </w:p>
        </w:tc>
        <w:tc>
          <w:tcPr>
            <w:tcW w:w="3768" w:type="dxa"/>
            <w:tcBorders>
              <w:top w:val="single" w:sz="4" w:space="0" w:color="auto"/>
              <w:bottom w:val="single" w:sz="4" w:space="0" w:color="auto"/>
            </w:tcBorders>
          </w:tcPr>
          <w:p w14:paraId="0FFB52A6"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x&gt;75</m:t>
                </m:r>
              </m:oMath>
            </m:oMathPara>
          </w:p>
        </w:tc>
        <w:tc>
          <w:tcPr>
            <w:tcW w:w="1675" w:type="dxa"/>
            <w:tcBorders>
              <w:top w:val="single" w:sz="4" w:space="0" w:color="auto"/>
              <w:bottom w:val="single" w:sz="4" w:space="0" w:color="auto"/>
            </w:tcBorders>
          </w:tcPr>
          <w:p w14:paraId="379E5457"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27%</m:t>
                </m:r>
              </m:oMath>
            </m:oMathPara>
          </w:p>
        </w:tc>
      </w:tr>
      <w:tr w:rsidR="003C2719" w:rsidRPr="00E52C57" w14:paraId="5A30567C" w14:textId="77777777" w:rsidTr="001C1799">
        <w:trPr>
          <w:trHeight w:val="279"/>
        </w:trPr>
        <w:tc>
          <w:tcPr>
            <w:tcW w:w="5271" w:type="dxa"/>
            <w:gridSpan w:val="2"/>
            <w:tcBorders>
              <w:top w:val="single" w:sz="4" w:space="0" w:color="auto"/>
              <w:bottom w:val="single" w:sz="4" w:space="0" w:color="auto"/>
            </w:tcBorders>
          </w:tcPr>
          <w:p w14:paraId="05F8B8AF" w14:textId="77777777" w:rsidR="003C2719" w:rsidRPr="00E52C57" w:rsidRDefault="003C2719" w:rsidP="001C1799">
            <w:pPr>
              <w:jc w:val="center"/>
              <w:rPr>
                <w:rFonts w:ascii="Garamond" w:hAnsi="Garamond"/>
                <w:sz w:val="24"/>
                <w:szCs w:val="24"/>
              </w:rPr>
            </w:pPr>
            <w:r w:rsidRPr="00E52C57">
              <w:rPr>
                <w:rFonts w:ascii="Garamond" w:hAnsi="Garamond"/>
                <w:sz w:val="24"/>
                <w:szCs w:val="24"/>
              </w:rPr>
              <w:t>Total</w:t>
            </w:r>
          </w:p>
        </w:tc>
        <w:tc>
          <w:tcPr>
            <w:tcW w:w="1675" w:type="dxa"/>
            <w:tcBorders>
              <w:top w:val="single" w:sz="4" w:space="0" w:color="auto"/>
              <w:bottom w:val="single" w:sz="4" w:space="0" w:color="auto"/>
            </w:tcBorders>
          </w:tcPr>
          <w:p w14:paraId="31D1D6F6"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100%</m:t>
                </m:r>
              </m:oMath>
            </m:oMathPara>
          </w:p>
        </w:tc>
      </w:tr>
    </w:tbl>
    <w:p w14:paraId="0B72B8F4" w14:textId="77777777" w:rsidR="003C2719" w:rsidRPr="00E52C57" w:rsidRDefault="003C2719" w:rsidP="003C2719">
      <w:pPr>
        <w:spacing w:after="0" w:line="360" w:lineRule="auto"/>
        <w:jc w:val="both"/>
        <w:rPr>
          <w:rFonts w:ascii="Garamond" w:hAnsi="Garamond"/>
          <w:sz w:val="24"/>
          <w:szCs w:val="24"/>
        </w:rPr>
      </w:pPr>
    </w:p>
    <w:p w14:paraId="4B2E1D51" w14:textId="77777777" w:rsidR="003C2719" w:rsidRPr="00E52C57" w:rsidRDefault="003C2719" w:rsidP="003C2719">
      <w:pPr>
        <w:pStyle w:val="ListParagraph"/>
        <w:spacing w:line="360" w:lineRule="auto"/>
        <w:ind w:left="0" w:firstLine="709"/>
        <w:jc w:val="both"/>
        <w:rPr>
          <w:rFonts w:ascii="Garamond" w:hAnsi="Garamond"/>
          <w:sz w:val="24"/>
          <w:szCs w:val="24"/>
        </w:rPr>
      </w:pPr>
      <w:r w:rsidRPr="00E52C57">
        <w:rPr>
          <w:rFonts w:ascii="Garamond" w:hAnsi="Garamond"/>
          <w:sz w:val="24"/>
          <w:szCs w:val="24"/>
        </w:rPr>
        <w:t>The results of an interview with the Vice Principal for Curriculum at MTsN 1 Bone stated that the Independent Learning Curriculum is divided into three models: independent learning, independent change, and independent sharing. The model implemented at MTsN 1 Bone is the independent change model because it has been fully adapted to the learning system for grade VII.</w:t>
      </w:r>
    </w:p>
    <w:p w14:paraId="43277A80" w14:textId="77777777" w:rsidR="003C2719" w:rsidRPr="00E52C57" w:rsidRDefault="003C2719" w:rsidP="003C2719">
      <w:pPr>
        <w:pStyle w:val="ListParagraph"/>
        <w:spacing w:line="360" w:lineRule="auto"/>
        <w:ind w:left="0" w:firstLine="709"/>
        <w:jc w:val="both"/>
        <w:rPr>
          <w:rFonts w:ascii="Garamond" w:hAnsi="Garamond"/>
          <w:sz w:val="24"/>
          <w:szCs w:val="24"/>
          <w:lang w:val="en-ID"/>
        </w:rPr>
      </w:pPr>
      <w:r w:rsidRPr="00E52C57">
        <w:rPr>
          <w:rFonts w:ascii="Garamond" w:hAnsi="Garamond"/>
          <w:sz w:val="24"/>
          <w:szCs w:val="24"/>
        </w:rPr>
        <w:t>Based on the results of the above research, it can be concluded that teachers at MTsN 1 Bone have a conceptual understanding of the Independent Learning Curriculum and have prepared a curriculum model that will be adapted to the learning system for the 2023/2024 academic year.</w:t>
      </w:r>
    </w:p>
    <w:p w14:paraId="5C9364AD" w14:textId="77777777" w:rsidR="003C2719" w:rsidRPr="00E52C57" w:rsidRDefault="003C2719" w:rsidP="003C2719">
      <w:pPr>
        <w:spacing w:after="0" w:line="360" w:lineRule="auto"/>
        <w:jc w:val="both"/>
        <w:rPr>
          <w:rFonts w:ascii="Garamond" w:hAnsi="Garamond"/>
          <w:b/>
          <w:bCs/>
          <w:i/>
          <w:iCs/>
          <w:sz w:val="24"/>
          <w:szCs w:val="24"/>
        </w:rPr>
      </w:pPr>
      <w:r w:rsidRPr="00E52C57">
        <w:rPr>
          <w:rFonts w:ascii="Garamond" w:hAnsi="Garamond"/>
          <w:b/>
          <w:bCs/>
          <w:i/>
          <w:iCs/>
          <w:sz w:val="24"/>
          <w:szCs w:val="24"/>
        </w:rPr>
        <w:t>Procedural</w:t>
      </w:r>
    </w:p>
    <w:p w14:paraId="1D8A3B6F" w14:textId="77777777" w:rsidR="003C2719" w:rsidRPr="00E52C57" w:rsidRDefault="003C2719" w:rsidP="003C2719">
      <w:pPr>
        <w:spacing w:after="0" w:line="360" w:lineRule="auto"/>
        <w:ind w:firstLine="720"/>
        <w:jc w:val="both"/>
        <w:rPr>
          <w:rFonts w:ascii="Garamond" w:hAnsi="Garamond"/>
          <w:sz w:val="24"/>
          <w:szCs w:val="24"/>
        </w:rPr>
      </w:pPr>
      <w:r w:rsidRPr="00E52C57">
        <w:rPr>
          <w:rFonts w:ascii="Garamond" w:hAnsi="Garamond"/>
          <w:sz w:val="24"/>
          <w:szCs w:val="24"/>
        </w:rPr>
        <w:t>The results of the procedural indicator survey showed that 67% of teachers were in the “ready” category and 28% of teachers were in the “highly ready” category, as shown in the following table.</w:t>
      </w:r>
    </w:p>
    <w:p w14:paraId="5B16CB18" w14:textId="77777777" w:rsidR="003C2719" w:rsidRPr="00E52C57" w:rsidRDefault="003C2719" w:rsidP="003C2719">
      <w:pPr>
        <w:spacing w:after="0" w:line="240" w:lineRule="auto"/>
        <w:jc w:val="center"/>
        <w:rPr>
          <w:rFonts w:ascii="Garamond" w:hAnsi="Garamond"/>
          <w:sz w:val="24"/>
          <w:szCs w:val="24"/>
        </w:rPr>
      </w:pPr>
      <w:r w:rsidRPr="00E52C57">
        <w:rPr>
          <w:rFonts w:ascii="Garamond" w:hAnsi="Garamond"/>
          <w:b/>
          <w:bCs/>
          <w:sz w:val="24"/>
          <w:szCs w:val="24"/>
          <w:lang w:val="id-ID"/>
        </w:rPr>
        <w:t>T</w:t>
      </w:r>
      <w:r w:rsidRPr="00E52C57">
        <w:rPr>
          <w:rFonts w:ascii="Garamond" w:hAnsi="Garamond"/>
          <w:b/>
          <w:bCs/>
          <w:sz w:val="24"/>
          <w:szCs w:val="24"/>
        </w:rPr>
        <w:t>able 5.</w:t>
      </w:r>
      <w:r w:rsidRPr="00E52C57">
        <w:rPr>
          <w:rFonts w:ascii="Garamond" w:hAnsi="Garamond"/>
          <w:sz w:val="24"/>
          <w:szCs w:val="24"/>
        </w:rPr>
        <w:t xml:space="preserve"> Results of the Madrasah Readiness Survey in Implementing the Independent Learning Curriculum at MTsN 1 Bone with Procedural Indicators</w:t>
      </w:r>
    </w:p>
    <w:tbl>
      <w:tblPr>
        <w:tblStyle w:val="TableGrid"/>
        <w:tblW w:w="7048"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25"/>
        <w:gridCol w:w="3823"/>
        <w:gridCol w:w="1700"/>
      </w:tblGrid>
      <w:tr w:rsidR="003C2719" w:rsidRPr="00E52C57" w14:paraId="0C00200F" w14:textId="77777777" w:rsidTr="001C1799">
        <w:trPr>
          <w:trHeight w:val="280"/>
        </w:trPr>
        <w:tc>
          <w:tcPr>
            <w:tcW w:w="1525" w:type="dxa"/>
            <w:tcBorders>
              <w:top w:val="single" w:sz="4" w:space="0" w:color="auto"/>
              <w:bottom w:val="single" w:sz="4" w:space="0" w:color="auto"/>
            </w:tcBorders>
          </w:tcPr>
          <w:p w14:paraId="147A3349"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Criteria</w:t>
            </w:r>
          </w:p>
        </w:tc>
        <w:tc>
          <w:tcPr>
            <w:tcW w:w="3823" w:type="dxa"/>
            <w:tcBorders>
              <w:top w:val="single" w:sz="4" w:space="0" w:color="auto"/>
              <w:bottom w:val="single" w:sz="4" w:space="0" w:color="auto"/>
            </w:tcBorders>
          </w:tcPr>
          <w:p w14:paraId="2F0E29A6"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Score</w:t>
            </w:r>
          </w:p>
        </w:tc>
        <w:tc>
          <w:tcPr>
            <w:tcW w:w="1700" w:type="dxa"/>
            <w:tcBorders>
              <w:top w:val="single" w:sz="4" w:space="0" w:color="auto"/>
              <w:bottom w:val="single" w:sz="4" w:space="0" w:color="auto"/>
            </w:tcBorders>
          </w:tcPr>
          <w:p w14:paraId="4D608CA3"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Percetage</w:t>
            </w:r>
          </w:p>
        </w:tc>
      </w:tr>
      <w:tr w:rsidR="003C2719" w:rsidRPr="00E52C57" w14:paraId="2A2CC83D" w14:textId="77777777" w:rsidTr="001C1799">
        <w:trPr>
          <w:trHeight w:val="280"/>
        </w:trPr>
        <w:tc>
          <w:tcPr>
            <w:tcW w:w="1525" w:type="dxa"/>
            <w:tcBorders>
              <w:top w:val="single" w:sz="4" w:space="0" w:color="auto"/>
              <w:bottom w:val="single" w:sz="4" w:space="0" w:color="auto"/>
            </w:tcBorders>
          </w:tcPr>
          <w:p w14:paraId="7BDAA6ED" w14:textId="77777777" w:rsidR="003C2719" w:rsidRPr="00E52C57" w:rsidRDefault="003C2719" w:rsidP="001C1799">
            <w:pPr>
              <w:jc w:val="center"/>
              <w:rPr>
                <w:rFonts w:ascii="Garamond" w:hAnsi="Garamond"/>
                <w:sz w:val="24"/>
                <w:szCs w:val="24"/>
              </w:rPr>
            </w:pPr>
            <w:r w:rsidRPr="00E52C57">
              <w:rPr>
                <w:rFonts w:ascii="Garamond" w:hAnsi="Garamond"/>
                <w:sz w:val="24"/>
                <w:szCs w:val="24"/>
              </w:rPr>
              <w:t>Not Ready</w:t>
            </w:r>
          </w:p>
        </w:tc>
        <w:tc>
          <w:tcPr>
            <w:tcW w:w="3823" w:type="dxa"/>
            <w:tcBorders>
              <w:top w:val="single" w:sz="4" w:space="0" w:color="auto"/>
              <w:bottom w:val="single" w:sz="4" w:space="0" w:color="auto"/>
            </w:tcBorders>
          </w:tcPr>
          <w:p w14:paraId="0E42DD3E"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 ≤25</m:t>
                </m:r>
              </m:oMath>
            </m:oMathPara>
          </w:p>
        </w:tc>
        <w:tc>
          <w:tcPr>
            <w:tcW w:w="1700" w:type="dxa"/>
            <w:tcBorders>
              <w:top w:val="single" w:sz="4" w:space="0" w:color="auto"/>
              <w:bottom w:val="single" w:sz="4" w:space="0" w:color="auto"/>
            </w:tcBorders>
          </w:tcPr>
          <w:p w14:paraId="362E52D7"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m:t>
                </m:r>
              </m:oMath>
            </m:oMathPara>
          </w:p>
        </w:tc>
      </w:tr>
      <w:tr w:rsidR="003C2719" w:rsidRPr="00E52C57" w14:paraId="7374FB38" w14:textId="77777777" w:rsidTr="001C1799">
        <w:trPr>
          <w:trHeight w:val="280"/>
        </w:trPr>
        <w:tc>
          <w:tcPr>
            <w:tcW w:w="1525" w:type="dxa"/>
            <w:tcBorders>
              <w:top w:val="single" w:sz="4" w:space="0" w:color="auto"/>
              <w:bottom w:val="single" w:sz="4" w:space="0" w:color="auto"/>
            </w:tcBorders>
          </w:tcPr>
          <w:p w14:paraId="130AA69A" w14:textId="77777777" w:rsidR="003C2719" w:rsidRPr="00E52C57" w:rsidRDefault="003C2719" w:rsidP="001C1799">
            <w:pPr>
              <w:jc w:val="center"/>
              <w:rPr>
                <w:rFonts w:ascii="Garamond" w:hAnsi="Garamond"/>
                <w:sz w:val="24"/>
                <w:szCs w:val="24"/>
              </w:rPr>
            </w:pPr>
            <w:r w:rsidRPr="00E52C57">
              <w:rPr>
                <w:rFonts w:ascii="Garamond" w:hAnsi="Garamond"/>
                <w:sz w:val="24"/>
                <w:szCs w:val="24"/>
              </w:rPr>
              <w:t>Less Ready</w:t>
            </w:r>
          </w:p>
        </w:tc>
        <w:tc>
          <w:tcPr>
            <w:tcW w:w="3823" w:type="dxa"/>
            <w:tcBorders>
              <w:top w:val="single" w:sz="4" w:space="0" w:color="auto"/>
              <w:bottom w:val="single" w:sz="4" w:space="0" w:color="auto"/>
            </w:tcBorders>
          </w:tcPr>
          <w:p w14:paraId="1AA61EA4"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25&lt;x ≤50</m:t>
                </m:r>
              </m:oMath>
            </m:oMathPara>
          </w:p>
        </w:tc>
        <w:tc>
          <w:tcPr>
            <w:tcW w:w="1700" w:type="dxa"/>
            <w:tcBorders>
              <w:top w:val="single" w:sz="4" w:space="0" w:color="auto"/>
              <w:bottom w:val="single" w:sz="4" w:space="0" w:color="auto"/>
            </w:tcBorders>
          </w:tcPr>
          <w:p w14:paraId="71F231FF"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m:t>
                </m:r>
              </m:oMath>
            </m:oMathPara>
          </w:p>
        </w:tc>
      </w:tr>
      <w:tr w:rsidR="003C2719" w:rsidRPr="00E52C57" w14:paraId="79CD9CAE" w14:textId="77777777" w:rsidTr="001C1799">
        <w:trPr>
          <w:trHeight w:val="280"/>
        </w:trPr>
        <w:tc>
          <w:tcPr>
            <w:tcW w:w="1525" w:type="dxa"/>
            <w:tcBorders>
              <w:top w:val="single" w:sz="4" w:space="0" w:color="auto"/>
              <w:bottom w:val="single" w:sz="4" w:space="0" w:color="auto"/>
            </w:tcBorders>
          </w:tcPr>
          <w:p w14:paraId="69D68FA6" w14:textId="77777777" w:rsidR="003C2719" w:rsidRPr="00E52C57" w:rsidRDefault="003C2719" w:rsidP="001C1799">
            <w:pPr>
              <w:jc w:val="center"/>
              <w:rPr>
                <w:rFonts w:ascii="Garamond" w:hAnsi="Garamond"/>
                <w:sz w:val="24"/>
                <w:szCs w:val="24"/>
              </w:rPr>
            </w:pPr>
            <w:r w:rsidRPr="00E52C57">
              <w:rPr>
                <w:rFonts w:ascii="Garamond" w:hAnsi="Garamond"/>
                <w:sz w:val="24"/>
                <w:szCs w:val="24"/>
              </w:rPr>
              <w:lastRenderedPageBreak/>
              <w:t>Ready</w:t>
            </w:r>
          </w:p>
        </w:tc>
        <w:tc>
          <w:tcPr>
            <w:tcW w:w="3823" w:type="dxa"/>
            <w:tcBorders>
              <w:top w:val="single" w:sz="4" w:space="0" w:color="auto"/>
              <w:bottom w:val="single" w:sz="4" w:space="0" w:color="auto"/>
            </w:tcBorders>
          </w:tcPr>
          <w:p w14:paraId="6751BA54"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50&lt;x ≤75</m:t>
                </m:r>
              </m:oMath>
            </m:oMathPara>
          </w:p>
        </w:tc>
        <w:tc>
          <w:tcPr>
            <w:tcW w:w="1700" w:type="dxa"/>
            <w:tcBorders>
              <w:top w:val="single" w:sz="4" w:space="0" w:color="auto"/>
              <w:bottom w:val="single" w:sz="4" w:space="0" w:color="auto"/>
            </w:tcBorders>
          </w:tcPr>
          <w:p w14:paraId="45661F5A"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67%</m:t>
                </m:r>
              </m:oMath>
            </m:oMathPara>
          </w:p>
        </w:tc>
      </w:tr>
      <w:tr w:rsidR="003C2719" w:rsidRPr="00E52C57" w14:paraId="2DF81C0B" w14:textId="77777777" w:rsidTr="001C1799">
        <w:trPr>
          <w:trHeight w:val="280"/>
        </w:trPr>
        <w:tc>
          <w:tcPr>
            <w:tcW w:w="1525" w:type="dxa"/>
            <w:tcBorders>
              <w:top w:val="single" w:sz="4" w:space="0" w:color="auto"/>
              <w:bottom w:val="single" w:sz="4" w:space="0" w:color="auto"/>
            </w:tcBorders>
          </w:tcPr>
          <w:p w14:paraId="6000A902" w14:textId="77777777" w:rsidR="003C2719" w:rsidRPr="00E52C57" w:rsidRDefault="003C2719" w:rsidP="001C1799">
            <w:pPr>
              <w:jc w:val="center"/>
              <w:rPr>
                <w:rFonts w:ascii="Garamond" w:hAnsi="Garamond"/>
                <w:sz w:val="24"/>
                <w:szCs w:val="24"/>
              </w:rPr>
            </w:pPr>
            <w:r w:rsidRPr="00E52C57">
              <w:rPr>
                <w:rFonts w:ascii="Garamond" w:hAnsi="Garamond"/>
                <w:sz w:val="24"/>
                <w:szCs w:val="24"/>
              </w:rPr>
              <w:t>Highly Ready</w:t>
            </w:r>
          </w:p>
        </w:tc>
        <w:tc>
          <w:tcPr>
            <w:tcW w:w="3823" w:type="dxa"/>
            <w:tcBorders>
              <w:top w:val="single" w:sz="4" w:space="0" w:color="auto"/>
              <w:bottom w:val="single" w:sz="4" w:space="0" w:color="auto"/>
            </w:tcBorders>
          </w:tcPr>
          <w:p w14:paraId="14609DDA"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x&gt;75</m:t>
                </m:r>
              </m:oMath>
            </m:oMathPara>
          </w:p>
        </w:tc>
        <w:tc>
          <w:tcPr>
            <w:tcW w:w="1700" w:type="dxa"/>
            <w:tcBorders>
              <w:top w:val="single" w:sz="4" w:space="0" w:color="auto"/>
              <w:bottom w:val="single" w:sz="4" w:space="0" w:color="auto"/>
            </w:tcBorders>
          </w:tcPr>
          <w:p w14:paraId="59946BCA"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28%</m:t>
                </m:r>
              </m:oMath>
            </m:oMathPara>
          </w:p>
        </w:tc>
      </w:tr>
      <w:tr w:rsidR="003C2719" w:rsidRPr="00E52C57" w14:paraId="50416B6A" w14:textId="77777777" w:rsidTr="001C1799">
        <w:trPr>
          <w:trHeight w:val="283"/>
        </w:trPr>
        <w:tc>
          <w:tcPr>
            <w:tcW w:w="5348" w:type="dxa"/>
            <w:gridSpan w:val="2"/>
            <w:tcBorders>
              <w:top w:val="single" w:sz="4" w:space="0" w:color="auto"/>
              <w:bottom w:val="single" w:sz="4" w:space="0" w:color="auto"/>
            </w:tcBorders>
          </w:tcPr>
          <w:p w14:paraId="2258AEE9" w14:textId="77777777" w:rsidR="003C2719" w:rsidRPr="00E52C57" w:rsidRDefault="003C2719" w:rsidP="001C1799">
            <w:pPr>
              <w:pStyle w:val="ListParagraph"/>
              <w:ind w:left="0" w:firstLine="709"/>
              <w:jc w:val="both"/>
              <w:rPr>
                <w:rFonts w:ascii="Garamond" w:hAnsi="Garamond"/>
                <w:sz w:val="24"/>
                <w:szCs w:val="24"/>
              </w:rPr>
            </w:pPr>
            <w:r w:rsidRPr="00E52C57">
              <w:rPr>
                <w:rFonts w:ascii="Garamond" w:hAnsi="Garamond"/>
                <w:sz w:val="24"/>
                <w:szCs w:val="24"/>
              </w:rPr>
              <w:t>Total</w:t>
            </w:r>
          </w:p>
        </w:tc>
        <w:tc>
          <w:tcPr>
            <w:tcW w:w="1700" w:type="dxa"/>
            <w:tcBorders>
              <w:top w:val="single" w:sz="4" w:space="0" w:color="auto"/>
              <w:bottom w:val="single" w:sz="4" w:space="0" w:color="auto"/>
            </w:tcBorders>
          </w:tcPr>
          <w:p w14:paraId="3F3ADD1D" w14:textId="77777777" w:rsidR="003C2719" w:rsidRPr="00E52C57" w:rsidRDefault="003C2719" w:rsidP="001C1799">
            <w:pPr>
              <w:jc w:val="both"/>
              <w:rPr>
                <w:rFonts w:ascii="Garamond" w:hAnsi="Garamond"/>
                <w:sz w:val="24"/>
                <w:szCs w:val="24"/>
              </w:rPr>
            </w:pPr>
            <m:oMathPara>
              <m:oMath>
                <m:r>
                  <m:rPr>
                    <m:sty m:val="p"/>
                  </m:rPr>
                  <w:rPr>
                    <w:rFonts w:ascii="Cambria Math" w:hAnsi="Cambria Math"/>
                    <w:sz w:val="24"/>
                    <w:szCs w:val="24"/>
                  </w:rPr>
                  <m:t>100%</m:t>
                </m:r>
              </m:oMath>
            </m:oMathPara>
          </w:p>
        </w:tc>
      </w:tr>
    </w:tbl>
    <w:p w14:paraId="78C29F17" w14:textId="77777777" w:rsidR="003C2719" w:rsidRPr="00E52C57" w:rsidRDefault="003C2719" w:rsidP="003C2719">
      <w:pPr>
        <w:spacing w:after="0" w:line="360" w:lineRule="auto"/>
        <w:ind w:firstLine="720"/>
        <w:jc w:val="both"/>
        <w:rPr>
          <w:rFonts w:ascii="Garamond" w:hAnsi="Garamond"/>
          <w:sz w:val="24"/>
          <w:szCs w:val="24"/>
        </w:rPr>
      </w:pPr>
    </w:p>
    <w:p w14:paraId="5D5E3089" w14:textId="77777777" w:rsidR="003C2719" w:rsidRPr="00E52C57" w:rsidRDefault="003C2719" w:rsidP="003C2719">
      <w:pPr>
        <w:pStyle w:val="ListParagraph"/>
        <w:spacing w:line="360" w:lineRule="auto"/>
        <w:ind w:left="0" w:firstLine="709"/>
        <w:jc w:val="both"/>
        <w:rPr>
          <w:rFonts w:ascii="Garamond" w:hAnsi="Garamond"/>
          <w:sz w:val="24"/>
          <w:szCs w:val="24"/>
        </w:rPr>
      </w:pPr>
      <w:r w:rsidRPr="00E52C57">
        <w:rPr>
          <w:rFonts w:ascii="Garamond" w:hAnsi="Garamond"/>
          <w:sz w:val="24"/>
          <w:szCs w:val="24"/>
        </w:rPr>
        <w:t>Based on interviews with the Vice Principal for Curriculum and several teachers at MTsN 1 Bone, it was stated that all subjects in grade VII apply for the Independent Learning Curriculum, which includes 15 subjects including local content. Regarding the procedures of the Independent Learning Curriculum, learning begins with an introduction to the curriculum, namely by participating in training. Then follow the existing stages in accordance with KMA 347 of 2022.</w:t>
      </w:r>
    </w:p>
    <w:p w14:paraId="0178E94A" w14:textId="77777777" w:rsidR="003C2719" w:rsidRPr="00E52C57" w:rsidRDefault="003C2719" w:rsidP="003C2719">
      <w:pPr>
        <w:pStyle w:val="ListParagraph"/>
        <w:spacing w:line="360" w:lineRule="auto"/>
        <w:ind w:left="0" w:firstLine="709"/>
        <w:jc w:val="both"/>
        <w:rPr>
          <w:rFonts w:ascii="Garamond" w:hAnsi="Garamond"/>
          <w:sz w:val="24"/>
          <w:szCs w:val="24"/>
          <w:lang w:val="en-ID"/>
        </w:rPr>
      </w:pPr>
      <w:r w:rsidRPr="00E52C57">
        <w:rPr>
          <w:rFonts w:ascii="Garamond" w:hAnsi="Garamond"/>
          <w:sz w:val="24"/>
          <w:szCs w:val="24"/>
        </w:rPr>
        <w:t>Based on the research results above, it can be concluded that teachers at MTsN 1 Bone already understand the procedures for implementing the Independent Learning Curriculum and that several teachers have participated in several training courses.</w:t>
      </w:r>
    </w:p>
    <w:p w14:paraId="169A767B" w14:textId="77777777" w:rsidR="003C2719" w:rsidRPr="00E52C57" w:rsidRDefault="003C2719" w:rsidP="003C2719">
      <w:pPr>
        <w:spacing w:after="0" w:line="360" w:lineRule="auto"/>
        <w:jc w:val="both"/>
        <w:rPr>
          <w:rFonts w:ascii="Garamond" w:hAnsi="Garamond"/>
          <w:b/>
          <w:bCs/>
          <w:i/>
          <w:iCs/>
          <w:sz w:val="24"/>
          <w:szCs w:val="24"/>
        </w:rPr>
      </w:pPr>
      <w:r w:rsidRPr="00E52C57">
        <w:rPr>
          <w:rFonts w:ascii="Garamond" w:hAnsi="Garamond"/>
          <w:b/>
          <w:bCs/>
          <w:i/>
          <w:iCs/>
          <w:sz w:val="24"/>
          <w:szCs w:val="24"/>
        </w:rPr>
        <w:t>Metacognitive</w:t>
      </w:r>
    </w:p>
    <w:p w14:paraId="3EC001CF" w14:textId="77777777" w:rsidR="003C2719" w:rsidRPr="00E52C57" w:rsidRDefault="003C2719" w:rsidP="003C2719">
      <w:pPr>
        <w:spacing w:after="0" w:line="360" w:lineRule="auto"/>
        <w:ind w:firstLine="720"/>
        <w:jc w:val="both"/>
        <w:rPr>
          <w:rFonts w:ascii="Garamond" w:hAnsi="Garamond"/>
          <w:sz w:val="24"/>
          <w:szCs w:val="24"/>
        </w:rPr>
      </w:pPr>
      <w:r w:rsidRPr="00E52C57">
        <w:rPr>
          <w:rFonts w:ascii="Garamond" w:hAnsi="Garamond"/>
          <w:sz w:val="24"/>
          <w:szCs w:val="24"/>
        </w:rPr>
        <w:t>The results of the teacher understanding survey with metacognitive indicators showed that 5% of teachers were in the "less ready" category, 68% were in the "ready" category, and 28% were in the "highly ready" category, as shown in the following table.</w:t>
      </w:r>
    </w:p>
    <w:p w14:paraId="67123F38" w14:textId="77777777" w:rsidR="003C2719" w:rsidRPr="00E52C57" w:rsidRDefault="003C2719" w:rsidP="003C2719">
      <w:pPr>
        <w:spacing w:after="0" w:line="240" w:lineRule="auto"/>
        <w:jc w:val="center"/>
        <w:rPr>
          <w:rFonts w:ascii="Garamond" w:hAnsi="Garamond"/>
          <w:sz w:val="24"/>
          <w:szCs w:val="24"/>
        </w:rPr>
      </w:pPr>
      <w:r w:rsidRPr="00E52C57">
        <w:rPr>
          <w:rFonts w:ascii="Garamond" w:hAnsi="Garamond"/>
          <w:b/>
          <w:bCs/>
          <w:sz w:val="24"/>
          <w:szCs w:val="24"/>
        </w:rPr>
        <w:t>Table 6.</w:t>
      </w:r>
      <w:r w:rsidRPr="00E52C57">
        <w:rPr>
          <w:rFonts w:ascii="Garamond" w:hAnsi="Garamond"/>
          <w:sz w:val="24"/>
          <w:szCs w:val="24"/>
        </w:rPr>
        <w:t xml:space="preserve"> The Results of the Madrasah Readiness Survey in Implementing the Independent Learning Curriculum in MTsN 1 Bone with Metacognitive Indicators</w:t>
      </w:r>
    </w:p>
    <w:tbl>
      <w:tblPr>
        <w:tblStyle w:val="TableGrid"/>
        <w:tblW w:w="7087"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34"/>
        <w:gridCol w:w="3844"/>
        <w:gridCol w:w="1709"/>
      </w:tblGrid>
      <w:tr w:rsidR="003C2719" w:rsidRPr="00E52C57" w14:paraId="6AACF1F1" w14:textId="77777777" w:rsidTr="001C1799">
        <w:trPr>
          <w:trHeight w:val="302"/>
        </w:trPr>
        <w:tc>
          <w:tcPr>
            <w:tcW w:w="1534" w:type="dxa"/>
            <w:tcBorders>
              <w:top w:val="single" w:sz="4" w:space="0" w:color="auto"/>
              <w:bottom w:val="single" w:sz="4" w:space="0" w:color="auto"/>
            </w:tcBorders>
          </w:tcPr>
          <w:p w14:paraId="421047C5"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Criteria</w:t>
            </w:r>
          </w:p>
        </w:tc>
        <w:tc>
          <w:tcPr>
            <w:tcW w:w="3844" w:type="dxa"/>
            <w:tcBorders>
              <w:top w:val="single" w:sz="4" w:space="0" w:color="auto"/>
              <w:bottom w:val="single" w:sz="4" w:space="0" w:color="auto"/>
            </w:tcBorders>
          </w:tcPr>
          <w:p w14:paraId="059E3726"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Score</w:t>
            </w:r>
          </w:p>
        </w:tc>
        <w:tc>
          <w:tcPr>
            <w:tcW w:w="1709" w:type="dxa"/>
            <w:tcBorders>
              <w:top w:val="single" w:sz="4" w:space="0" w:color="auto"/>
              <w:bottom w:val="single" w:sz="4" w:space="0" w:color="auto"/>
            </w:tcBorders>
          </w:tcPr>
          <w:p w14:paraId="21B65378"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Percentage</w:t>
            </w:r>
          </w:p>
        </w:tc>
      </w:tr>
      <w:tr w:rsidR="003C2719" w:rsidRPr="00E52C57" w14:paraId="5E8946A9" w14:textId="77777777" w:rsidTr="001C1799">
        <w:trPr>
          <w:trHeight w:val="302"/>
        </w:trPr>
        <w:tc>
          <w:tcPr>
            <w:tcW w:w="1534" w:type="dxa"/>
            <w:tcBorders>
              <w:top w:val="single" w:sz="4" w:space="0" w:color="auto"/>
              <w:bottom w:val="single" w:sz="4" w:space="0" w:color="auto"/>
            </w:tcBorders>
          </w:tcPr>
          <w:p w14:paraId="07CA921B" w14:textId="77777777" w:rsidR="003C2719" w:rsidRPr="00E52C57" w:rsidRDefault="003C2719" w:rsidP="001C1799">
            <w:pPr>
              <w:jc w:val="center"/>
              <w:rPr>
                <w:rFonts w:ascii="Garamond" w:hAnsi="Garamond"/>
                <w:sz w:val="24"/>
                <w:szCs w:val="24"/>
              </w:rPr>
            </w:pPr>
            <w:r w:rsidRPr="00E52C57">
              <w:rPr>
                <w:rFonts w:ascii="Garamond" w:hAnsi="Garamond"/>
                <w:sz w:val="24"/>
                <w:szCs w:val="24"/>
              </w:rPr>
              <w:t>Not Ready</w:t>
            </w:r>
          </w:p>
        </w:tc>
        <w:tc>
          <w:tcPr>
            <w:tcW w:w="3844" w:type="dxa"/>
            <w:tcBorders>
              <w:top w:val="single" w:sz="4" w:space="0" w:color="auto"/>
              <w:bottom w:val="single" w:sz="4" w:space="0" w:color="auto"/>
            </w:tcBorders>
          </w:tcPr>
          <w:p w14:paraId="0153CA56"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 ≤25</m:t>
                </m:r>
              </m:oMath>
            </m:oMathPara>
          </w:p>
        </w:tc>
        <w:tc>
          <w:tcPr>
            <w:tcW w:w="1709" w:type="dxa"/>
            <w:tcBorders>
              <w:top w:val="single" w:sz="4" w:space="0" w:color="auto"/>
              <w:bottom w:val="single" w:sz="4" w:space="0" w:color="auto"/>
            </w:tcBorders>
          </w:tcPr>
          <w:p w14:paraId="06860562"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m:t>
                </m:r>
              </m:oMath>
            </m:oMathPara>
          </w:p>
        </w:tc>
      </w:tr>
      <w:tr w:rsidR="003C2719" w:rsidRPr="00E52C57" w14:paraId="4F1FD5E4" w14:textId="77777777" w:rsidTr="001C1799">
        <w:trPr>
          <w:trHeight w:val="302"/>
        </w:trPr>
        <w:tc>
          <w:tcPr>
            <w:tcW w:w="1534" w:type="dxa"/>
            <w:tcBorders>
              <w:top w:val="single" w:sz="4" w:space="0" w:color="auto"/>
              <w:bottom w:val="single" w:sz="4" w:space="0" w:color="auto"/>
            </w:tcBorders>
          </w:tcPr>
          <w:p w14:paraId="5368A05C" w14:textId="77777777" w:rsidR="003C2719" w:rsidRPr="00E52C57" w:rsidRDefault="003C2719" w:rsidP="001C1799">
            <w:pPr>
              <w:jc w:val="center"/>
              <w:rPr>
                <w:rFonts w:ascii="Garamond" w:hAnsi="Garamond"/>
                <w:sz w:val="24"/>
                <w:szCs w:val="24"/>
              </w:rPr>
            </w:pPr>
            <w:r w:rsidRPr="00E52C57">
              <w:rPr>
                <w:rFonts w:ascii="Garamond" w:hAnsi="Garamond"/>
                <w:sz w:val="24"/>
                <w:szCs w:val="24"/>
              </w:rPr>
              <w:t>Less Ready</w:t>
            </w:r>
          </w:p>
        </w:tc>
        <w:tc>
          <w:tcPr>
            <w:tcW w:w="3844" w:type="dxa"/>
            <w:tcBorders>
              <w:top w:val="single" w:sz="4" w:space="0" w:color="auto"/>
              <w:bottom w:val="single" w:sz="4" w:space="0" w:color="auto"/>
            </w:tcBorders>
          </w:tcPr>
          <w:p w14:paraId="6FDCD7A4"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25&lt;x ≤50</m:t>
                </m:r>
              </m:oMath>
            </m:oMathPara>
          </w:p>
        </w:tc>
        <w:tc>
          <w:tcPr>
            <w:tcW w:w="1709" w:type="dxa"/>
            <w:tcBorders>
              <w:top w:val="single" w:sz="4" w:space="0" w:color="auto"/>
              <w:bottom w:val="single" w:sz="4" w:space="0" w:color="auto"/>
            </w:tcBorders>
          </w:tcPr>
          <w:p w14:paraId="06498FD7"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m:t>
                </m:r>
              </m:oMath>
            </m:oMathPara>
          </w:p>
        </w:tc>
      </w:tr>
      <w:tr w:rsidR="003C2719" w:rsidRPr="00E52C57" w14:paraId="2025628B" w14:textId="77777777" w:rsidTr="001C1799">
        <w:trPr>
          <w:trHeight w:val="302"/>
        </w:trPr>
        <w:tc>
          <w:tcPr>
            <w:tcW w:w="1534" w:type="dxa"/>
            <w:tcBorders>
              <w:top w:val="single" w:sz="4" w:space="0" w:color="auto"/>
              <w:bottom w:val="single" w:sz="4" w:space="0" w:color="auto"/>
            </w:tcBorders>
          </w:tcPr>
          <w:p w14:paraId="135D5ACE" w14:textId="77777777" w:rsidR="003C2719" w:rsidRPr="00E52C57" w:rsidRDefault="003C2719" w:rsidP="001C1799">
            <w:pPr>
              <w:jc w:val="center"/>
              <w:rPr>
                <w:rFonts w:ascii="Garamond" w:hAnsi="Garamond"/>
                <w:sz w:val="24"/>
                <w:szCs w:val="24"/>
              </w:rPr>
            </w:pPr>
            <w:r w:rsidRPr="00E52C57">
              <w:rPr>
                <w:rFonts w:ascii="Garamond" w:hAnsi="Garamond"/>
                <w:sz w:val="24"/>
                <w:szCs w:val="24"/>
              </w:rPr>
              <w:t>Ready</w:t>
            </w:r>
          </w:p>
        </w:tc>
        <w:tc>
          <w:tcPr>
            <w:tcW w:w="3844" w:type="dxa"/>
            <w:tcBorders>
              <w:top w:val="single" w:sz="4" w:space="0" w:color="auto"/>
              <w:bottom w:val="single" w:sz="4" w:space="0" w:color="auto"/>
            </w:tcBorders>
          </w:tcPr>
          <w:p w14:paraId="7F71558B"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50&lt;x ≤75</m:t>
                </m:r>
              </m:oMath>
            </m:oMathPara>
          </w:p>
        </w:tc>
        <w:tc>
          <w:tcPr>
            <w:tcW w:w="1709" w:type="dxa"/>
            <w:tcBorders>
              <w:top w:val="single" w:sz="4" w:space="0" w:color="auto"/>
              <w:bottom w:val="single" w:sz="4" w:space="0" w:color="auto"/>
            </w:tcBorders>
          </w:tcPr>
          <w:p w14:paraId="39EBA4FD"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68%</m:t>
                </m:r>
              </m:oMath>
            </m:oMathPara>
          </w:p>
        </w:tc>
      </w:tr>
      <w:tr w:rsidR="003C2719" w:rsidRPr="00E52C57" w14:paraId="77985795" w14:textId="77777777" w:rsidTr="001C1799">
        <w:trPr>
          <w:trHeight w:val="302"/>
        </w:trPr>
        <w:tc>
          <w:tcPr>
            <w:tcW w:w="1534" w:type="dxa"/>
            <w:tcBorders>
              <w:top w:val="single" w:sz="4" w:space="0" w:color="auto"/>
              <w:bottom w:val="single" w:sz="4" w:space="0" w:color="auto"/>
            </w:tcBorders>
          </w:tcPr>
          <w:p w14:paraId="55421FCC" w14:textId="77777777" w:rsidR="003C2719" w:rsidRPr="00E52C57" w:rsidRDefault="003C2719" w:rsidP="001C1799">
            <w:pPr>
              <w:jc w:val="center"/>
              <w:rPr>
                <w:rFonts w:ascii="Garamond" w:hAnsi="Garamond"/>
                <w:sz w:val="24"/>
                <w:szCs w:val="24"/>
              </w:rPr>
            </w:pPr>
            <w:r w:rsidRPr="00E52C57">
              <w:rPr>
                <w:rFonts w:ascii="Garamond" w:hAnsi="Garamond"/>
                <w:sz w:val="24"/>
                <w:szCs w:val="24"/>
              </w:rPr>
              <w:t>Highly Ready</w:t>
            </w:r>
          </w:p>
        </w:tc>
        <w:tc>
          <w:tcPr>
            <w:tcW w:w="3844" w:type="dxa"/>
            <w:tcBorders>
              <w:top w:val="single" w:sz="4" w:space="0" w:color="auto"/>
              <w:bottom w:val="single" w:sz="4" w:space="0" w:color="auto"/>
            </w:tcBorders>
          </w:tcPr>
          <w:p w14:paraId="64CAC2E1"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x&gt;75</m:t>
                </m:r>
              </m:oMath>
            </m:oMathPara>
          </w:p>
        </w:tc>
        <w:tc>
          <w:tcPr>
            <w:tcW w:w="1709" w:type="dxa"/>
            <w:tcBorders>
              <w:top w:val="single" w:sz="4" w:space="0" w:color="auto"/>
              <w:bottom w:val="single" w:sz="4" w:space="0" w:color="auto"/>
            </w:tcBorders>
          </w:tcPr>
          <w:p w14:paraId="51A30F8C"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28%</m:t>
                </m:r>
              </m:oMath>
            </m:oMathPara>
          </w:p>
        </w:tc>
      </w:tr>
      <w:tr w:rsidR="003C2719" w:rsidRPr="00E52C57" w14:paraId="5BEBA4D3" w14:textId="77777777" w:rsidTr="001C1799">
        <w:trPr>
          <w:trHeight w:val="302"/>
        </w:trPr>
        <w:tc>
          <w:tcPr>
            <w:tcW w:w="5378" w:type="dxa"/>
            <w:gridSpan w:val="2"/>
            <w:tcBorders>
              <w:top w:val="single" w:sz="4" w:space="0" w:color="auto"/>
              <w:bottom w:val="single" w:sz="4" w:space="0" w:color="auto"/>
            </w:tcBorders>
          </w:tcPr>
          <w:p w14:paraId="2A64D449" w14:textId="77777777" w:rsidR="003C2719" w:rsidRPr="00E52C57" w:rsidRDefault="003C2719" w:rsidP="001C1799">
            <w:pPr>
              <w:jc w:val="center"/>
              <w:rPr>
                <w:rFonts w:ascii="Garamond" w:hAnsi="Garamond"/>
                <w:sz w:val="24"/>
                <w:szCs w:val="24"/>
              </w:rPr>
            </w:pPr>
            <w:r w:rsidRPr="00E52C57">
              <w:rPr>
                <w:rFonts w:ascii="Garamond" w:hAnsi="Garamond"/>
                <w:sz w:val="24"/>
                <w:szCs w:val="24"/>
              </w:rPr>
              <w:t>Total</w:t>
            </w:r>
          </w:p>
        </w:tc>
        <w:tc>
          <w:tcPr>
            <w:tcW w:w="1709" w:type="dxa"/>
            <w:tcBorders>
              <w:top w:val="single" w:sz="4" w:space="0" w:color="auto"/>
              <w:bottom w:val="single" w:sz="4" w:space="0" w:color="auto"/>
            </w:tcBorders>
          </w:tcPr>
          <w:p w14:paraId="7930B062"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100%</m:t>
                </m:r>
              </m:oMath>
            </m:oMathPara>
          </w:p>
        </w:tc>
      </w:tr>
    </w:tbl>
    <w:p w14:paraId="7A1F0AFD" w14:textId="77777777" w:rsidR="003C2719" w:rsidRPr="00E52C57" w:rsidRDefault="003C2719" w:rsidP="003C2719">
      <w:pPr>
        <w:spacing w:after="0" w:line="360" w:lineRule="auto"/>
        <w:ind w:firstLine="720"/>
        <w:jc w:val="both"/>
        <w:rPr>
          <w:rFonts w:ascii="Garamond" w:hAnsi="Garamond"/>
          <w:sz w:val="24"/>
          <w:szCs w:val="24"/>
        </w:rPr>
      </w:pPr>
    </w:p>
    <w:p w14:paraId="13F59209" w14:textId="77777777" w:rsidR="003C2719" w:rsidRPr="00E52C57" w:rsidRDefault="003C2719" w:rsidP="003C2719">
      <w:pPr>
        <w:pStyle w:val="ListParagraph"/>
        <w:spacing w:line="360" w:lineRule="auto"/>
        <w:ind w:left="0" w:firstLine="709"/>
        <w:jc w:val="both"/>
        <w:rPr>
          <w:rFonts w:ascii="Garamond" w:hAnsi="Garamond"/>
          <w:sz w:val="24"/>
          <w:szCs w:val="24"/>
        </w:rPr>
      </w:pPr>
      <w:r w:rsidRPr="00E52C57">
        <w:rPr>
          <w:rFonts w:ascii="Garamond" w:hAnsi="Garamond"/>
          <w:sz w:val="24"/>
          <w:szCs w:val="24"/>
        </w:rPr>
        <w:t>The results of an interview with the Vice Principal for Curriculum and several teachers said that teachers at MTsN 1 Bone are quite optimistic about facing this latest curriculum. They took advantage of the semester break to prepare themselves by learning and attending independent training. The madrasah has also formed a curriculum team from a group of teachers who are more knowledgeable to share knowledge and information, especially regarding the digital learning system.</w:t>
      </w:r>
    </w:p>
    <w:p w14:paraId="4EF01C24" w14:textId="77777777" w:rsidR="003C2719" w:rsidRDefault="003C2719" w:rsidP="003C2719">
      <w:pPr>
        <w:pStyle w:val="ListParagraph"/>
        <w:spacing w:line="360" w:lineRule="auto"/>
        <w:ind w:left="0" w:firstLine="709"/>
        <w:jc w:val="both"/>
        <w:rPr>
          <w:rFonts w:ascii="Garamond" w:hAnsi="Garamond"/>
          <w:sz w:val="24"/>
          <w:szCs w:val="24"/>
        </w:rPr>
      </w:pPr>
      <w:r w:rsidRPr="00E52C57">
        <w:rPr>
          <w:rFonts w:ascii="Garamond" w:hAnsi="Garamond"/>
          <w:sz w:val="24"/>
          <w:szCs w:val="24"/>
        </w:rPr>
        <w:t xml:space="preserve">Based on the results of the above research, the researcher concluded that teachers at MTsN 1 Bone are optimistic about the Independent Learning Curriculum because some of the </w:t>
      </w:r>
      <w:r w:rsidRPr="00E52C57">
        <w:rPr>
          <w:rFonts w:ascii="Garamond" w:hAnsi="Garamond"/>
          <w:sz w:val="24"/>
          <w:szCs w:val="24"/>
        </w:rPr>
        <w:lastRenderedPageBreak/>
        <w:t>teachers have prepared themselves by attending several online seminars on the independent learning curriculum.</w:t>
      </w:r>
    </w:p>
    <w:p w14:paraId="6C7465BF" w14:textId="77777777" w:rsidR="003C2719" w:rsidRPr="00E52C57" w:rsidRDefault="003C2719" w:rsidP="003C2719">
      <w:pPr>
        <w:spacing w:after="0" w:line="360" w:lineRule="auto"/>
        <w:jc w:val="both"/>
        <w:rPr>
          <w:rFonts w:ascii="Garamond" w:hAnsi="Garamond"/>
          <w:b/>
          <w:bCs/>
          <w:i/>
          <w:iCs/>
          <w:sz w:val="24"/>
          <w:szCs w:val="24"/>
        </w:rPr>
      </w:pPr>
      <w:r w:rsidRPr="00E52C57">
        <w:rPr>
          <w:rFonts w:ascii="Garamond" w:hAnsi="Garamond"/>
          <w:b/>
          <w:bCs/>
          <w:i/>
          <w:iCs/>
          <w:sz w:val="24"/>
          <w:szCs w:val="24"/>
        </w:rPr>
        <w:t>Knowing One's Potential</w:t>
      </w:r>
    </w:p>
    <w:p w14:paraId="5635A5B1" w14:textId="227CF8B7" w:rsidR="00E00AC1" w:rsidRDefault="003C2719" w:rsidP="003C2719">
      <w:pPr>
        <w:spacing w:after="0" w:line="360" w:lineRule="auto"/>
        <w:ind w:firstLine="720"/>
        <w:jc w:val="both"/>
        <w:rPr>
          <w:rFonts w:ascii="Garamond" w:hAnsi="Garamond"/>
          <w:sz w:val="24"/>
          <w:szCs w:val="24"/>
        </w:rPr>
      </w:pPr>
      <w:r w:rsidRPr="00E52C57">
        <w:rPr>
          <w:rFonts w:ascii="Garamond" w:hAnsi="Garamond"/>
          <w:sz w:val="24"/>
          <w:szCs w:val="24"/>
        </w:rPr>
        <w:t>The results of the teacher development questionnaire with the indicator of knowing one's potential showed that 5% were in the "less ready" category, 79% were in the "ready" category, and 16% were in the "highly ready" category, as shown in the following table.</w:t>
      </w:r>
    </w:p>
    <w:p w14:paraId="1A3937F5" w14:textId="77777777" w:rsidR="002C58ED" w:rsidRPr="00E52C57" w:rsidRDefault="002C58ED" w:rsidP="003C2719">
      <w:pPr>
        <w:spacing w:after="0" w:line="360" w:lineRule="auto"/>
        <w:ind w:firstLine="720"/>
        <w:jc w:val="both"/>
        <w:rPr>
          <w:rFonts w:ascii="Garamond" w:hAnsi="Garamond"/>
          <w:sz w:val="24"/>
          <w:szCs w:val="24"/>
        </w:rPr>
      </w:pPr>
    </w:p>
    <w:p w14:paraId="13867402" w14:textId="77777777" w:rsidR="003C2719" w:rsidRPr="00E52C57" w:rsidRDefault="003C2719" w:rsidP="003C2719">
      <w:pPr>
        <w:spacing w:after="0" w:line="240" w:lineRule="auto"/>
        <w:jc w:val="center"/>
        <w:rPr>
          <w:rFonts w:ascii="Garamond" w:hAnsi="Garamond"/>
          <w:sz w:val="24"/>
          <w:szCs w:val="24"/>
        </w:rPr>
      </w:pPr>
      <w:r w:rsidRPr="00E52C57">
        <w:rPr>
          <w:rFonts w:ascii="Garamond" w:hAnsi="Garamond"/>
          <w:b/>
          <w:bCs/>
          <w:sz w:val="24"/>
          <w:szCs w:val="24"/>
        </w:rPr>
        <w:t>Table 7.</w:t>
      </w:r>
      <w:r w:rsidRPr="00E52C57">
        <w:rPr>
          <w:rFonts w:ascii="Garamond" w:hAnsi="Garamond"/>
          <w:sz w:val="24"/>
          <w:szCs w:val="24"/>
        </w:rPr>
        <w:t xml:space="preserve"> Results of the Madrasah Readiness Survey in Implementing the Independent Learning Curriculum at MTsN 1 Bone with the Indicator of Knowing One's Potential</w:t>
      </w:r>
    </w:p>
    <w:tbl>
      <w:tblPr>
        <w:tblStyle w:val="TableGrid"/>
        <w:tblW w:w="7077"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31"/>
        <w:gridCol w:w="3839"/>
        <w:gridCol w:w="1707"/>
      </w:tblGrid>
      <w:tr w:rsidR="003C2719" w:rsidRPr="00E52C57" w14:paraId="043075EA" w14:textId="77777777" w:rsidTr="001C1799">
        <w:trPr>
          <w:trHeight w:val="299"/>
        </w:trPr>
        <w:tc>
          <w:tcPr>
            <w:tcW w:w="1531" w:type="dxa"/>
            <w:tcBorders>
              <w:top w:val="single" w:sz="4" w:space="0" w:color="auto"/>
              <w:bottom w:val="single" w:sz="4" w:space="0" w:color="auto"/>
            </w:tcBorders>
          </w:tcPr>
          <w:p w14:paraId="281D2C12"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Criteria</w:t>
            </w:r>
          </w:p>
        </w:tc>
        <w:tc>
          <w:tcPr>
            <w:tcW w:w="3839" w:type="dxa"/>
            <w:tcBorders>
              <w:top w:val="single" w:sz="4" w:space="0" w:color="auto"/>
              <w:bottom w:val="single" w:sz="4" w:space="0" w:color="auto"/>
            </w:tcBorders>
          </w:tcPr>
          <w:p w14:paraId="023082FD"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Score</w:t>
            </w:r>
          </w:p>
        </w:tc>
        <w:tc>
          <w:tcPr>
            <w:tcW w:w="1707" w:type="dxa"/>
            <w:tcBorders>
              <w:top w:val="single" w:sz="4" w:space="0" w:color="auto"/>
              <w:bottom w:val="single" w:sz="4" w:space="0" w:color="auto"/>
            </w:tcBorders>
          </w:tcPr>
          <w:p w14:paraId="1A1DCC39"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Percentage</w:t>
            </w:r>
          </w:p>
        </w:tc>
      </w:tr>
      <w:tr w:rsidR="003C2719" w:rsidRPr="00E52C57" w14:paraId="4E724CEC" w14:textId="77777777" w:rsidTr="001C1799">
        <w:trPr>
          <w:trHeight w:val="299"/>
        </w:trPr>
        <w:tc>
          <w:tcPr>
            <w:tcW w:w="1531" w:type="dxa"/>
            <w:tcBorders>
              <w:top w:val="single" w:sz="4" w:space="0" w:color="auto"/>
              <w:bottom w:val="single" w:sz="4" w:space="0" w:color="auto"/>
            </w:tcBorders>
          </w:tcPr>
          <w:p w14:paraId="522835E6" w14:textId="77777777" w:rsidR="003C2719" w:rsidRPr="00E52C57" w:rsidRDefault="003C2719" w:rsidP="001C1799">
            <w:pPr>
              <w:jc w:val="center"/>
              <w:rPr>
                <w:rFonts w:ascii="Garamond" w:hAnsi="Garamond"/>
                <w:sz w:val="24"/>
                <w:szCs w:val="24"/>
              </w:rPr>
            </w:pPr>
            <w:r w:rsidRPr="00E52C57">
              <w:rPr>
                <w:rFonts w:ascii="Garamond" w:hAnsi="Garamond"/>
                <w:sz w:val="24"/>
                <w:szCs w:val="24"/>
              </w:rPr>
              <w:t>Not Ready</w:t>
            </w:r>
          </w:p>
        </w:tc>
        <w:tc>
          <w:tcPr>
            <w:tcW w:w="3839" w:type="dxa"/>
            <w:tcBorders>
              <w:top w:val="single" w:sz="4" w:space="0" w:color="auto"/>
              <w:bottom w:val="single" w:sz="4" w:space="0" w:color="auto"/>
            </w:tcBorders>
          </w:tcPr>
          <w:p w14:paraId="6BA8929E"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 ≤25</m:t>
                </m:r>
              </m:oMath>
            </m:oMathPara>
          </w:p>
        </w:tc>
        <w:tc>
          <w:tcPr>
            <w:tcW w:w="1707" w:type="dxa"/>
            <w:tcBorders>
              <w:top w:val="single" w:sz="4" w:space="0" w:color="auto"/>
              <w:bottom w:val="single" w:sz="4" w:space="0" w:color="auto"/>
            </w:tcBorders>
          </w:tcPr>
          <w:p w14:paraId="3D0D9DFA"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m:t>
                </m:r>
              </m:oMath>
            </m:oMathPara>
          </w:p>
        </w:tc>
      </w:tr>
      <w:tr w:rsidR="003C2719" w:rsidRPr="00E52C57" w14:paraId="28937BF1" w14:textId="77777777" w:rsidTr="001C1799">
        <w:trPr>
          <w:trHeight w:val="299"/>
        </w:trPr>
        <w:tc>
          <w:tcPr>
            <w:tcW w:w="1531" w:type="dxa"/>
            <w:tcBorders>
              <w:top w:val="single" w:sz="4" w:space="0" w:color="auto"/>
              <w:bottom w:val="single" w:sz="4" w:space="0" w:color="auto"/>
            </w:tcBorders>
          </w:tcPr>
          <w:p w14:paraId="11FDD00E" w14:textId="77777777" w:rsidR="003C2719" w:rsidRPr="00E52C57" w:rsidRDefault="003C2719" w:rsidP="001C1799">
            <w:pPr>
              <w:jc w:val="center"/>
              <w:rPr>
                <w:rFonts w:ascii="Garamond" w:hAnsi="Garamond"/>
                <w:sz w:val="24"/>
                <w:szCs w:val="24"/>
              </w:rPr>
            </w:pPr>
            <w:r w:rsidRPr="00E52C57">
              <w:rPr>
                <w:rFonts w:ascii="Garamond" w:hAnsi="Garamond"/>
                <w:sz w:val="24"/>
                <w:szCs w:val="24"/>
              </w:rPr>
              <w:t>Less Ready</w:t>
            </w:r>
          </w:p>
        </w:tc>
        <w:tc>
          <w:tcPr>
            <w:tcW w:w="3839" w:type="dxa"/>
            <w:tcBorders>
              <w:top w:val="single" w:sz="4" w:space="0" w:color="auto"/>
              <w:bottom w:val="single" w:sz="4" w:space="0" w:color="auto"/>
            </w:tcBorders>
          </w:tcPr>
          <w:p w14:paraId="51236627"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25&lt;x ≤50</m:t>
                </m:r>
              </m:oMath>
            </m:oMathPara>
          </w:p>
        </w:tc>
        <w:tc>
          <w:tcPr>
            <w:tcW w:w="1707" w:type="dxa"/>
            <w:tcBorders>
              <w:top w:val="single" w:sz="4" w:space="0" w:color="auto"/>
              <w:bottom w:val="single" w:sz="4" w:space="0" w:color="auto"/>
            </w:tcBorders>
          </w:tcPr>
          <w:p w14:paraId="5612C16E"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m:t>
                </m:r>
              </m:oMath>
            </m:oMathPara>
          </w:p>
        </w:tc>
      </w:tr>
      <w:tr w:rsidR="003C2719" w:rsidRPr="00E52C57" w14:paraId="34AC2614" w14:textId="77777777" w:rsidTr="001C1799">
        <w:trPr>
          <w:trHeight w:val="299"/>
        </w:trPr>
        <w:tc>
          <w:tcPr>
            <w:tcW w:w="1531" w:type="dxa"/>
            <w:tcBorders>
              <w:top w:val="single" w:sz="4" w:space="0" w:color="auto"/>
              <w:bottom w:val="single" w:sz="4" w:space="0" w:color="auto"/>
            </w:tcBorders>
          </w:tcPr>
          <w:p w14:paraId="3D06A45E" w14:textId="77777777" w:rsidR="003C2719" w:rsidRPr="00E52C57" w:rsidRDefault="003C2719" w:rsidP="001C1799">
            <w:pPr>
              <w:jc w:val="center"/>
              <w:rPr>
                <w:rFonts w:ascii="Garamond" w:hAnsi="Garamond"/>
                <w:sz w:val="24"/>
                <w:szCs w:val="24"/>
              </w:rPr>
            </w:pPr>
            <w:r w:rsidRPr="00E52C57">
              <w:rPr>
                <w:rFonts w:ascii="Garamond" w:hAnsi="Garamond"/>
                <w:sz w:val="24"/>
                <w:szCs w:val="24"/>
              </w:rPr>
              <w:t>Ready</w:t>
            </w:r>
          </w:p>
        </w:tc>
        <w:tc>
          <w:tcPr>
            <w:tcW w:w="3839" w:type="dxa"/>
            <w:tcBorders>
              <w:top w:val="single" w:sz="4" w:space="0" w:color="auto"/>
              <w:bottom w:val="single" w:sz="4" w:space="0" w:color="auto"/>
            </w:tcBorders>
          </w:tcPr>
          <w:p w14:paraId="42DC7F7E"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50&lt;x ≤75</m:t>
                </m:r>
              </m:oMath>
            </m:oMathPara>
          </w:p>
        </w:tc>
        <w:tc>
          <w:tcPr>
            <w:tcW w:w="1707" w:type="dxa"/>
            <w:tcBorders>
              <w:top w:val="single" w:sz="4" w:space="0" w:color="auto"/>
              <w:bottom w:val="single" w:sz="4" w:space="0" w:color="auto"/>
            </w:tcBorders>
          </w:tcPr>
          <w:p w14:paraId="2013DA58"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79%</m:t>
                </m:r>
              </m:oMath>
            </m:oMathPara>
          </w:p>
        </w:tc>
      </w:tr>
      <w:tr w:rsidR="003C2719" w:rsidRPr="00E52C57" w14:paraId="342D72B0" w14:textId="77777777" w:rsidTr="001C1799">
        <w:trPr>
          <w:trHeight w:val="299"/>
        </w:trPr>
        <w:tc>
          <w:tcPr>
            <w:tcW w:w="1531" w:type="dxa"/>
            <w:tcBorders>
              <w:top w:val="single" w:sz="4" w:space="0" w:color="auto"/>
              <w:bottom w:val="single" w:sz="4" w:space="0" w:color="auto"/>
            </w:tcBorders>
          </w:tcPr>
          <w:p w14:paraId="4B3DAB60" w14:textId="77777777" w:rsidR="003C2719" w:rsidRPr="00E52C57" w:rsidRDefault="003C2719" w:rsidP="001C1799">
            <w:pPr>
              <w:jc w:val="center"/>
              <w:rPr>
                <w:rFonts w:ascii="Garamond" w:hAnsi="Garamond"/>
                <w:sz w:val="24"/>
                <w:szCs w:val="24"/>
              </w:rPr>
            </w:pPr>
            <w:r w:rsidRPr="00E52C57">
              <w:rPr>
                <w:rFonts w:ascii="Garamond" w:hAnsi="Garamond"/>
                <w:sz w:val="24"/>
                <w:szCs w:val="24"/>
              </w:rPr>
              <w:t>Highly Ready</w:t>
            </w:r>
          </w:p>
        </w:tc>
        <w:tc>
          <w:tcPr>
            <w:tcW w:w="3839" w:type="dxa"/>
            <w:tcBorders>
              <w:top w:val="single" w:sz="4" w:space="0" w:color="auto"/>
              <w:bottom w:val="single" w:sz="4" w:space="0" w:color="auto"/>
            </w:tcBorders>
          </w:tcPr>
          <w:p w14:paraId="17E4611D"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x&gt;75</m:t>
                </m:r>
              </m:oMath>
            </m:oMathPara>
          </w:p>
        </w:tc>
        <w:tc>
          <w:tcPr>
            <w:tcW w:w="1707" w:type="dxa"/>
            <w:tcBorders>
              <w:top w:val="single" w:sz="4" w:space="0" w:color="auto"/>
              <w:bottom w:val="single" w:sz="4" w:space="0" w:color="auto"/>
            </w:tcBorders>
          </w:tcPr>
          <w:p w14:paraId="2F6E43D8"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16%</m:t>
                </m:r>
              </m:oMath>
            </m:oMathPara>
          </w:p>
        </w:tc>
      </w:tr>
      <w:tr w:rsidR="003C2719" w:rsidRPr="00E52C57" w14:paraId="594412AF" w14:textId="77777777" w:rsidTr="001C1799">
        <w:trPr>
          <w:trHeight w:val="299"/>
        </w:trPr>
        <w:tc>
          <w:tcPr>
            <w:tcW w:w="5370" w:type="dxa"/>
            <w:gridSpan w:val="2"/>
            <w:tcBorders>
              <w:top w:val="single" w:sz="4" w:space="0" w:color="auto"/>
              <w:bottom w:val="single" w:sz="4" w:space="0" w:color="auto"/>
            </w:tcBorders>
          </w:tcPr>
          <w:p w14:paraId="4E958CC6" w14:textId="77777777" w:rsidR="003C2719" w:rsidRPr="00E52C57" w:rsidRDefault="003C2719" w:rsidP="001C1799">
            <w:pPr>
              <w:jc w:val="center"/>
              <w:rPr>
                <w:rFonts w:ascii="Garamond" w:hAnsi="Garamond"/>
                <w:sz w:val="24"/>
                <w:szCs w:val="24"/>
              </w:rPr>
            </w:pPr>
            <w:r w:rsidRPr="00E52C57">
              <w:rPr>
                <w:rFonts w:ascii="Garamond" w:hAnsi="Garamond"/>
                <w:sz w:val="24"/>
                <w:szCs w:val="24"/>
              </w:rPr>
              <w:t>Total</w:t>
            </w:r>
          </w:p>
        </w:tc>
        <w:tc>
          <w:tcPr>
            <w:tcW w:w="1707" w:type="dxa"/>
            <w:tcBorders>
              <w:top w:val="single" w:sz="4" w:space="0" w:color="auto"/>
              <w:bottom w:val="single" w:sz="4" w:space="0" w:color="auto"/>
            </w:tcBorders>
          </w:tcPr>
          <w:p w14:paraId="5A4662AB"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100%</m:t>
                </m:r>
              </m:oMath>
            </m:oMathPara>
          </w:p>
        </w:tc>
      </w:tr>
    </w:tbl>
    <w:p w14:paraId="72392535" w14:textId="77777777" w:rsidR="00E00AC1" w:rsidRDefault="00E00AC1" w:rsidP="003C2719">
      <w:pPr>
        <w:pStyle w:val="ListParagraph"/>
        <w:spacing w:line="360" w:lineRule="auto"/>
        <w:ind w:left="0" w:firstLine="709"/>
        <w:jc w:val="both"/>
        <w:rPr>
          <w:rFonts w:ascii="Garamond" w:hAnsi="Garamond"/>
          <w:sz w:val="24"/>
          <w:szCs w:val="24"/>
        </w:rPr>
      </w:pPr>
    </w:p>
    <w:p w14:paraId="238DB83D" w14:textId="05F3BA27" w:rsidR="003C2719" w:rsidRPr="00E52C57" w:rsidRDefault="003C2719" w:rsidP="003C2719">
      <w:pPr>
        <w:pStyle w:val="ListParagraph"/>
        <w:spacing w:line="360" w:lineRule="auto"/>
        <w:ind w:left="0" w:firstLine="709"/>
        <w:jc w:val="both"/>
        <w:rPr>
          <w:rFonts w:ascii="Garamond" w:hAnsi="Garamond"/>
          <w:sz w:val="24"/>
          <w:szCs w:val="24"/>
        </w:rPr>
      </w:pPr>
      <w:r w:rsidRPr="00E52C57">
        <w:rPr>
          <w:rFonts w:ascii="Garamond" w:hAnsi="Garamond"/>
          <w:sz w:val="24"/>
          <w:szCs w:val="24"/>
        </w:rPr>
        <w:t>Based on the results of an interview with the Vice Principal for Curriculum, the way the madrasah adapted to the preparation and implementation of the Independent Learning Curriculum was through socialization to all students, especially grade VII students. They were introduced to the curriculum from the beginning of the MATSAMA (</w:t>
      </w:r>
      <w:r w:rsidRPr="00E52C57">
        <w:rPr>
          <w:rFonts w:ascii="Garamond" w:hAnsi="Garamond"/>
          <w:i/>
          <w:iCs/>
          <w:sz w:val="24"/>
          <w:szCs w:val="24"/>
        </w:rPr>
        <w:t>Masa Taaruf Siswa Madrasah</w:t>
      </w:r>
      <w:r w:rsidRPr="00E52C57">
        <w:rPr>
          <w:rFonts w:ascii="Garamond" w:hAnsi="Garamond"/>
          <w:sz w:val="24"/>
          <w:szCs w:val="24"/>
        </w:rPr>
        <w:t>) process. For teachers, the curriculum was introduced the previous year.</w:t>
      </w:r>
    </w:p>
    <w:p w14:paraId="0EE1CEE2" w14:textId="77777777" w:rsidR="003C2719" w:rsidRPr="00E52C57" w:rsidRDefault="003C2719" w:rsidP="003C2719">
      <w:pPr>
        <w:pStyle w:val="ListParagraph"/>
        <w:spacing w:line="360" w:lineRule="auto"/>
        <w:ind w:left="0" w:firstLine="709"/>
        <w:jc w:val="both"/>
        <w:rPr>
          <w:rFonts w:ascii="Garamond" w:hAnsi="Garamond"/>
          <w:sz w:val="24"/>
          <w:szCs w:val="24"/>
        </w:rPr>
      </w:pPr>
      <w:r w:rsidRPr="00E52C57">
        <w:rPr>
          <w:rFonts w:ascii="Garamond" w:hAnsi="Garamond"/>
          <w:sz w:val="24"/>
          <w:szCs w:val="24"/>
        </w:rPr>
        <w:t>The results of an interview with a grade VII Social Studies teacher revealed that their self-potential related to the Independent Learning Curriculum was still low in percentage. However, even with this small percentage, it could trigger the desire to continue learning and growing. The results of another interview with a grade VII Qur'an and Hadith teacher revealed that they had already done a lot of research on the Independent Learning Curriculum, such as learning models and materials that would be implemented.</w:t>
      </w:r>
    </w:p>
    <w:p w14:paraId="07CA7BF6" w14:textId="77777777" w:rsidR="003C2719" w:rsidRPr="00E52C57" w:rsidRDefault="003C2719" w:rsidP="003C2719">
      <w:pPr>
        <w:pStyle w:val="ListParagraph"/>
        <w:spacing w:line="360" w:lineRule="auto"/>
        <w:ind w:left="0" w:firstLine="709"/>
        <w:jc w:val="both"/>
        <w:rPr>
          <w:rFonts w:ascii="Garamond" w:hAnsi="Garamond"/>
          <w:sz w:val="24"/>
          <w:szCs w:val="24"/>
          <w:lang w:val="en-ID"/>
        </w:rPr>
      </w:pPr>
      <w:r w:rsidRPr="00E52C57">
        <w:rPr>
          <w:rFonts w:ascii="Garamond" w:hAnsi="Garamond"/>
          <w:sz w:val="24"/>
          <w:szCs w:val="24"/>
        </w:rPr>
        <w:t>Based on the results of the research above, we can conclude that the teachers at MTsN 1 Bone are already familiar with the Independent Learning Curriculum. They have prepared themselves and have conveyed the curriculum to the students, while also learning about the curriculum themselves.</w:t>
      </w:r>
    </w:p>
    <w:p w14:paraId="1608D0DF" w14:textId="77777777" w:rsidR="000B63BF" w:rsidRDefault="000123CA" w:rsidP="003C2719">
      <w:pPr>
        <w:spacing w:after="0" w:line="360" w:lineRule="auto"/>
        <w:jc w:val="both"/>
        <w:rPr>
          <w:rFonts w:ascii="Garamond" w:hAnsi="Garamond"/>
          <w:b/>
          <w:bCs/>
          <w:i/>
          <w:iCs/>
          <w:sz w:val="24"/>
          <w:szCs w:val="24"/>
        </w:rPr>
      </w:pPr>
      <w:r>
        <w:rPr>
          <w:rFonts w:ascii="Garamond" w:hAnsi="Garamond"/>
          <w:b/>
          <w:bCs/>
          <w:i/>
          <w:iCs/>
          <w:sz w:val="24"/>
          <w:szCs w:val="24"/>
        </w:rPr>
        <w:br/>
      </w:r>
    </w:p>
    <w:p w14:paraId="7E024742" w14:textId="503B8276" w:rsidR="003C2719" w:rsidRPr="00E52C57" w:rsidRDefault="000123CA" w:rsidP="003C2719">
      <w:pPr>
        <w:spacing w:after="0" w:line="360" w:lineRule="auto"/>
        <w:jc w:val="both"/>
        <w:rPr>
          <w:rFonts w:ascii="Garamond" w:hAnsi="Garamond"/>
          <w:b/>
          <w:bCs/>
          <w:i/>
          <w:iCs/>
          <w:sz w:val="24"/>
          <w:szCs w:val="24"/>
        </w:rPr>
      </w:pPr>
      <w:r>
        <w:rPr>
          <w:rFonts w:ascii="Garamond" w:hAnsi="Garamond"/>
          <w:b/>
          <w:bCs/>
          <w:i/>
          <w:iCs/>
          <w:sz w:val="24"/>
          <w:szCs w:val="24"/>
        </w:rPr>
        <w:lastRenderedPageBreak/>
        <w:br/>
      </w:r>
      <w:r w:rsidR="003C2719" w:rsidRPr="00E52C57">
        <w:rPr>
          <w:rFonts w:ascii="Garamond" w:hAnsi="Garamond"/>
          <w:b/>
          <w:bCs/>
          <w:i/>
          <w:iCs/>
          <w:sz w:val="24"/>
          <w:szCs w:val="24"/>
        </w:rPr>
        <w:t>Proactiveness</w:t>
      </w:r>
    </w:p>
    <w:p w14:paraId="3874A657" w14:textId="77777777" w:rsidR="003C2719" w:rsidRDefault="003C2719" w:rsidP="003C2719">
      <w:pPr>
        <w:spacing w:after="0" w:line="360" w:lineRule="auto"/>
        <w:ind w:firstLine="720"/>
        <w:jc w:val="both"/>
        <w:rPr>
          <w:rFonts w:ascii="Garamond" w:hAnsi="Garamond"/>
          <w:sz w:val="24"/>
          <w:szCs w:val="24"/>
        </w:rPr>
      </w:pPr>
      <w:r w:rsidRPr="00E52C57">
        <w:rPr>
          <w:rFonts w:ascii="Garamond" w:hAnsi="Garamond"/>
          <w:sz w:val="24"/>
          <w:szCs w:val="24"/>
        </w:rPr>
        <w:t xml:space="preserve">Based on the results of the teacher development survey with the proactiveness indicator, the percentage of teachers in the “ready” category is 67%, 29% in the “highly ready” category, and 5% in the “less ready” category, as shown in the following table. </w:t>
      </w:r>
    </w:p>
    <w:p w14:paraId="6E1E18B7" w14:textId="77777777" w:rsidR="003C2719" w:rsidRPr="00E52C57" w:rsidRDefault="003C2719" w:rsidP="003C2719">
      <w:pPr>
        <w:spacing w:after="0" w:line="240" w:lineRule="auto"/>
        <w:jc w:val="center"/>
        <w:rPr>
          <w:rFonts w:ascii="Garamond" w:hAnsi="Garamond"/>
          <w:sz w:val="24"/>
          <w:szCs w:val="24"/>
        </w:rPr>
      </w:pPr>
      <w:r w:rsidRPr="00E52C57">
        <w:rPr>
          <w:rFonts w:ascii="Garamond" w:hAnsi="Garamond"/>
          <w:b/>
          <w:bCs/>
          <w:sz w:val="24"/>
          <w:szCs w:val="24"/>
        </w:rPr>
        <w:t>Table 8.</w:t>
      </w:r>
      <w:r w:rsidRPr="00E52C57">
        <w:rPr>
          <w:rFonts w:ascii="Garamond" w:hAnsi="Garamond"/>
          <w:sz w:val="24"/>
          <w:szCs w:val="24"/>
        </w:rPr>
        <w:t xml:space="preserve"> Results of the Madrasah Readiness Survey in Implementing the Independent Learning Curriculum at MTsN 1 Bone with the Proactiveness Indicator </w:t>
      </w:r>
    </w:p>
    <w:tbl>
      <w:tblPr>
        <w:tblStyle w:val="TableGrid"/>
        <w:tblW w:w="7098"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36"/>
        <w:gridCol w:w="3850"/>
        <w:gridCol w:w="1712"/>
      </w:tblGrid>
      <w:tr w:rsidR="003C2719" w:rsidRPr="00E52C57" w14:paraId="38C9EB00" w14:textId="77777777" w:rsidTr="001C1799">
        <w:trPr>
          <w:trHeight w:val="299"/>
        </w:trPr>
        <w:tc>
          <w:tcPr>
            <w:tcW w:w="1536" w:type="dxa"/>
            <w:tcBorders>
              <w:top w:val="single" w:sz="4" w:space="0" w:color="auto"/>
              <w:bottom w:val="single" w:sz="4" w:space="0" w:color="auto"/>
            </w:tcBorders>
          </w:tcPr>
          <w:p w14:paraId="13A71EC4"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Criteria</w:t>
            </w:r>
          </w:p>
        </w:tc>
        <w:tc>
          <w:tcPr>
            <w:tcW w:w="3850" w:type="dxa"/>
            <w:tcBorders>
              <w:top w:val="single" w:sz="4" w:space="0" w:color="auto"/>
              <w:bottom w:val="single" w:sz="4" w:space="0" w:color="auto"/>
            </w:tcBorders>
          </w:tcPr>
          <w:p w14:paraId="0D540977"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Score</w:t>
            </w:r>
          </w:p>
        </w:tc>
        <w:tc>
          <w:tcPr>
            <w:tcW w:w="1712" w:type="dxa"/>
            <w:tcBorders>
              <w:top w:val="single" w:sz="4" w:space="0" w:color="auto"/>
              <w:bottom w:val="single" w:sz="4" w:space="0" w:color="auto"/>
            </w:tcBorders>
          </w:tcPr>
          <w:p w14:paraId="6BFBDFE9"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Percentage</w:t>
            </w:r>
          </w:p>
        </w:tc>
      </w:tr>
      <w:tr w:rsidR="003C2719" w:rsidRPr="00E52C57" w14:paraId="42EE240A" w14:textId="77777777" w:rsidTr="001C1799">
        <w:trPr>
          <w:trHeight w:val="299"/>
        </w:trPr>
        <w:tc>
          <w:tcPr>
            <w:tcW w:w="1536" w:type="dxa"/>
            <w:tcBorders>
              <w:top w:val="single" w:sz="4" w:space="0" w:color="auto"/>
              <w:bottom w:val="single" w:sz="4" w:space="0" w:color="auto"/>
            </w:tcBorders>
          </w:tcPr>
          <w:p w14:paraId="3549347F" w14:textId="77777777" w:rsidR="003C2719" w:rsidRPr="00E52C57" w:rsidRDefault="003C2719" w:rsidP="001C1799">
            <w:pPr>
              <w:jc w:val="center"/>
              <w:rPr>
                <w:rFonts w:ascii="Garamond" w:hAnsi="Garamond"/>
                <w:sz w:val="24"/>
                <w:szCs w:val="24"/>
              </w:rPr>
            </w:pPr>
            <w:r w:rsidRPr="00E52C57">
              <w:rPr>
                <w:rFonts w:ascii="Garamond" w:hAnsi="Garamond"/>
                <w:sz w:val="24"/>
                <w:szCs w:val="24"/>
              </w:rPr>
              <w:t>Not Ready</w:t>
            </w:r>
          </w:p>
        </w:tc>
        <w:tc>
          <w:tcPr>
            <w:tcW w:w="3850" w:type="dxa"/>
            <w:tcBorders>
              <w:top w:val="single" w:sz="4" w:space="0" w:color="auto"/>
              <w:bottom w:val="single" w:sz="4" w:space="0" w:color="auto"/>
            </w:tcBorders>
          </w:tcPr>
          <w:p w14:paraId="546FA947"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 ≤25</m:t>
                </m:r>
              </m:oMath>
            </m:oMathPara>
          </w:p>
        </w:tc>
        <w:tc>
          <w:tcPr>
            <w:tcW w:w="1712" w:type="dxa"/>
            <w:tcBorders>
              <w:top w:val="single" w:sz="4" w:space="0" w:color="auto"/>
              <w:bottom w:val="single" w:sz="4" w:space="0" w:color="auto"/>
            </w:tcBorders>
          </w:tcPr>
          <w:p w14:paraId="5ABDEB06"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m:t>
                </m:r>
              </m:oMath>
            </m:oMathPara>
          </w:p>
        </w:tc>
      </w:tr>
      <w:tr w:rsidR="003C2719" w:rsidRPr="00E52C57" w14:paraId="2A6F0281" w14:textId="77777777" w:rsidTr="001C1799">
        <w:trPr>
          <w:trHeight w:val="299"/>
        </w:trPr>
        <w:tc>
          <w:tcPr>
            <w:tcW w:w="1536" w:type="dxa"/>
            <w:tcBorders>
              <w:top w:val="single" w:sz="4" w:space="0" w:color="auto"/>
              <w:bottom w:val="single" w:sz="4" w:space="0" w:color="auto"/>
            </w:tcBorders>
          </w:tcPr>
          <w:p w14:paraId="44E96BD3" w14:textId="77777777" w:rsidR="003C2719" w:rsidRPr="00E52C57" w:rsidRDefault="003C2719" w:rsidP="001C1799">
            <w:pPr>
              <w:jc w:val="center"/>
              <w:rPr>
                <w:rFonts w:ascii="Garamond" w:hAnsi="Garamond"/>
                <w:sz w:val="24"/>
                <w:szCs w:val="24"/>
              </w:rPr>
            </w:pPr>
            <w:r w:rsidRPr="00E52C57">
              <w:rPr>
                <w:rFonts w:ascii="Garamond" w:hAnsi="Garamond"/>
                <w:sz w:val="24"/>
                <w:szCs w:val="24"/>
              </w:rPr>
              <w:t>Less Ready</w:t>
            </w:r>
          </w:p>
        </w:tc>
        <w:tc>
          <w:tcPr>
            <w:tcW w:w="3850" w:type="dxa"/>
            <w:tcBorders>
              <w:top w:val="single" w:sz="4" w:space="0" w:color="auto"/>
              <w:bottom w:val="single" w:sz="4" w:space="0" w:color="auto"/>
            </w:tcBorders>
          </w:tcPr>
          <w:p w14:paraId="49DA4F79"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25&lt;x ≤50</m:t>
                </m:r>
              </m:oMath>
            </m:oMathPara>
          </w:p>
        </w:tc>
        <w:tc>
          <w:tcPr>
            <w:tcW w:w="1712" w:type="dxa"/>
            <w:tcBorders>
              <w:top w:val="single" w:sz="4" w:space="0" w:color="auto"/>
              <w:bottom w:val="single" w:sz="4" w:space="0" w:color="auto"/>
            </w:tcBorders>
          </w:tcPr>
          <w:p w14:paraId="5727BC48"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m:t>
                </m:r>
              </m:oMath>
            </m:oMathPara>
          </w:p>
        </w:tc>
      </w:tr>
      <w:tr w:rsidR="003C2719" w:rsidRPr="00E52C57" w14:paraId="3405A319" w14:textId="77777777" w:rsidTr="001C1799">
        <w:trPr>
          <w:trHeight w:val="299"/>
        </w:trPr>
        <w:tc>
          <w:tcPr>
            <w:tcW w:w="1536" w:type="dxa"/>
            <w:tcBorders>
              <w:top w:val="single" w:sz="4" w:space="0" w:color="auto"/>
              <w:bottom w:val="single" w:sz="4" w:space="0" w:color="auto"/>
            </w:tcBorders>
          </w:tcPr>
          <w:p w14:paraId="7FBFDB5D" w14:textId="77777777" w:rsidR="003C2719" w:rsidRPr="00E52C57" w:rsidRDefault="003C2719" w:rsidP="001C1799">
            <w:pPr>
              <w:jc w:val="center"/>
              <w:rPr>
                <w:rFonts w:ascii="Garamond" w:hAnsi="Garamond"/>
                <w:sz w:val="24"/>
                <w:szCs w:val="24"/>
              </w:rPr>
            </w:pPr>
            <w:r w:rsidRPr="00E52C57">
              <w:rPr>
                <w:rFonts w:ascii="Garamond" w:hAnsi="Garamond"/>
                <w:sz w:val="24"/>
                <w:szCs w:val="24"/>
              </w:rPr>
              <w:t>Ready</w:t>
            </w:r>
          </w:p>
        </w:tc>
        <w:tc>
          <w:tcPr>
            <w:tcW w:w="3850" w:type="dxa"/>
            <w:tcBorders>
              <w:top w:val="single" w:sz="4" w:space="0" w:color="auto"/>
              <w:bottom w:val="single" w:sz="4" w:space="0" w:color="auto"/>
            </w:tcBorders>
          </w:tcPr>
          <w:p w14:paraId="7E4F6A14"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50&lt;x ≤75</m:t>
                </m:r>
              </m:oMath>
            </m:oMathPara>
          </w:p>
        </w:tc>
        <w:tc>
          <w:tcPr>
            <w:tcW w:w="1712" w:type="dxa"/>
            <w:tcBorders>
              <w:top w:val="single" w:sz="4" w:space="0" w:color="auto"/>
              <w:bottom w:val="single" w:sz="4" w:space="0" w:color="auto"/>
            </w:tcBorders>
          </w:tcPr>
          <w:p w14:paraId="47A585AA"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79%</m:t>
                </m:r>
              </m:oMath>
            </m:oMathPara>
          </w:p>
        </w:tc>
      </w:tr>
      <w:tr w:rsidR="003C2719" w:rsidRPr="00E52C57" w14:paraId="11386B3B" w14:textId="77777777" w:rsidTr="001C1799">
        <w:trPr>
          <w:trHeight w:val="299"/>
        </w:trPr>
        <w:tc>
          <w:tcPr>
            <w:tcW w:w="1536" w:type="dxa"/>
            <w:tcBorders>
              <w:top w:val="single" w:sz="4" w:space="0" w:color="auto"/>
              <w:bottom w:val="single" w:sz="4" w:space="0" w:color="auto"/>
            </w:tcBorders>
          </w:tcPr>
          <w:p w14:paraId="574ED5D7" w14:textId="77777777" w:rsidR="003C2719" w:rsidRPr="00E52C57" w:rsidRDefault="003C2719" w:rsidP="001C1799">
            <w:pPr>
              <w:jc w:val="center"/>
              <w:rPr>
                <w:rFonts w:ascii="Garamond" w:hAnsi="Garamond"/>
                <w:sz w:val="24"/>
                <w:szCs w:val="24"/>
              </w:rPr>
            </w:pPr>
            <w:r w:rsidRPr="00E52C57">
              <w:rPr>
                <w:rFonts w:ascii="Garamond" w:hAnsi="Garamond"/>
                <w:sz w:val="24"/>
                <w:szCs w:val="24"/>
              </w:rPr>
              <w:t>Highly Ready</w:t>
            </w:r>
          </w:p>
        </w:tc>
        <w:tc>
          <w:tcPr>
            <w:tcW w:w="3850" w:type="dxa"/>
            <w:tcBorders>
              <w:top w:val="single" w:sz="4" w:space="0" w:color="auto"/>
              <w:bottom w:val="single" w:sz="4" w:space="0" w:color="auto"/>
            </w:tcBorders>
          </w:tcPr>
          <w:p w14:paraId="066E7831"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x&gt;75</m:t>
                </m:r>
              </m:oMath>
            </m:oMathPara>
          </w:p>
        </w:tc>
        <w:tc>
          <w:tcPr>
            <w:tcW w:w="1712" w:type="dxa"/>
            <w:tcBorders>
              <w:top w:val="single" w:sz="4" w:space="0" w:color="auto"/>
              <w:bottom w:val="single" w:sz="4" w:space="0" w:color="auto"/>
            </w:tcBorders>
          </w:tcPr>
          <w:p w14:paraId="5705B688"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16%</m:t>
                </m:r>
              </m:oMath>
            </m:oMathPara>
          </w:p>
        </w:tc>
      </w:tr>
      <w:tr w:rsidR="003C2719" w:rsidRPr="00E52C57" w14:paraId="4C78627E" w14:textId="77777777" w:rsidTr="001C1799">
        <w:trPr>
          <w:trHeight w:val="299"/>
        </w:trPr>
        <w:tc>
          <w:tcPr>
            <w:tcW w:w="5386" w:type="dxa"/>
            <w:gridSpan w:val="2"/>
            <w:tcBorders>
              <w:top w:val="single" w:sz="4" w:space="0" w:color="auto"/>
              <w:bottom w:val="single" w:sz="4" w:space="0" w:color="auto"/>
            </w:tcBorders>
          </w:tcPr>
          <w:p w14:paraId="3C767885" w14:textId="77777777" w:rsidR="003C2719" w:rsidRPr="00E52C57" w:rsidRDefault="003C2719" w:rsidP="001C1799">
            <w:pPr>
              <w:jc w:val="center"/>
              <w:rPr>
                <w:rFonts w:ascii="Garamond" w:hAnsi="Garamond"/>
                <w:sz w:val="24"/>
                <w:szCs w:val="24"/>
              </w:rPr>
            </w:pPr>
            <w:r w:rsidRPr="00E52C57">
              <w:rPr>
                <w:rFonts w:ascii="Garamond" w:hAnsi="Garamond"/>
                <w:sz w:val="24"/>
                <w:szCs w:val="24"/>
              </w:rPr>
              <w:t>Total</w:t>
            </w:r>
          </w:p>
        </w:tc>
        <w:tc>
          <w:tcPr>
            <w:tcW w:w="1712" w:type="dxa"/>
            <w:tcBorders>
              <w:top w:val="single" w:sz="4" w:space="0" w:color="auto"/>
              <w:bottom w:val="single" w:sz="4" w:space="0" w:color="auto"/>
            </w:tcBorders>
          </w:tcPr>
          <w:p w14:paraId="27FA681A"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100%</m:t>
                </m:r>
              </m:oMath>
            </m:oMathPara>
          </w:p>
        </w:tc>
      </w:tr>
    </w:tbl>
    <w:p w14:paraId="41676CB1" w14:textId="77777777" w:rsidR="003C2719" w:rsidRPr="00E52C57" w:rsidRDefault="003C2719" w:rsidP="003C2719">
      <w:pPr>
        <w:spacing w:after="0" w:line="360" w:lineRule="auto"/>
        <w:ind w:firstLine="720"/>
        <w:jc w:val="both"/>
        <w:rPr>
          <w:rFonts w:ascii="Garamond" w:hAnsi="Garamond"/>
          <w:sz w:val="24"/>
          <w:szCs w:val="24"/>
        </w:rPr>
      </w:pPr>
    </w:p>
    <w:p w14:paraId="37C191E0" w14:textId="77777777" w:rsidR="003C2719" w:rsidRPr="00E52C57" w:rsidRDefault="003C2719" w:rsidP="003C2719">
      <w:pPr>
        <w:pStyle w:val="ListParagraph"/>
        <w:spacing w:line="360" w:lineRule="auto"/>
        <w:ind w:left="0" w:firstLine="709"/>
        <w:jc w:val="both"/>
        <w:rPr>
          <w:rFonts w:ascii="Garamond" w:hAnsi="Garamond"/>
          <w:sz w:val="24"/>
          <w:szCs w:val="24"/>
        </w:rPr>
      </w:pPr>
      <w:r w:rsidRPr="00E52C57">
        <w:rPr>
          <w:rFonts w:ascii="Garamond" w:hAnsi="Garamond"/>
          <w:sz w:val="24"/>
          <w:szCs w:val="24"/>
        </w:rPr>
        <w:t>Based on the results of an interview with the Vice Principal for Curriculum, the preparation process for the implementation of the Independent Learning Curriculum involved conducting training and developing the Operational Curriculum of the Madrasah.</w:t>
      </w:r>
    </w:p>
    <w:p w14:paraId="18061478" w14:textId="77777777" w:rsidR="003C2719" w:rsidRPr="00E52C57" w:rsidRDefault="003C2719" w:rsidP="003C2719">
      <w:pPr>
        <w:pStyle w:val="ListParagraph"/>
        <w:spacing w:line="360" w:lineRule="auto"/>
        <w:ind w:left="0" w:firstLine="709"/>
        <w:jc w:val="both"/>
        <w:rPr>
          <w:rFonts w:ascii="Garamond" w:hAnsi="Garamond"/>
          <w:sz w:val="24"/>
          <w:szCs w:val="24"/>
        </w:rPr>
      </w:pPr>
      <w:r w:rsidRPr="00E52C57">
        <w:rPr>
          <w:rFonts w:ascii="Garamond" w:hAnsi="Garamond"/>
          <w:sz w:val="24"/>
          <w:szCs w:val="24"/>
        </w:rPr>
        <w:t>The results of interviews with several grade 7 teachers at MTsN 1 Bone revealed that the preparation process for the implementation of the Independent Learning Curriculum involved preparing Learning Outcomes, teaching modules, and reference books for the Independent Learning Curriculum.</w:t>
      </w:r>
    </w:p>
    <w:p w14:paraId="3C4C0E1F" w14:textId="77777777" w:rsidR="003C2719" w:rsidRPr="00E52C57" w:rsidRDefault="003C2719" w:rsidP="003C2719">
      <w:pPr>
        <w:pStyle w:val="ListParagraph"/>
        <w:spacing w:line="360" w:lineRule="auto"/>
        <w:ind w:left="0" w:firstLine="709"/>
        <w:jc w:val="both"/>
        <w:rPr>
          <w:rFonts w:ascii="Garamond" w:hAnsi="Garamond"/>
          <w:sz w:val="24"/>
          <w:szCs w:val="24"/>
          <w:lang w:val="en-ID"/>
        </w:rPr>
      </w:pPr>
      <w:r w:rsidRPr="00E52C57">
        <w:rPr>
          <w:rFonts w:ascii="Garamond" w:hAnsi="Garamond"/>
          <w:sz w:val="24"/>
          <w:szCs w:val="24"/>
        </w:rPr>
        <w:t>Based on the research results above, the researcher concluded that MTsN 1 Bone prepared its teachers to implement the Independent Learning Curriculum by conducting training that was in line with the operational curriculum of the Madrasah and also by preparing various books and learning resources for the students.</w:t>
      </w:r>
    </w:p>
    <w:p w14:paraId="4CC67C86" w14:textId="77777777" w:rsidR="003C2719" w:rsidRPr="00E52C57" w:rsidRDefault="003C2719" w:rsidP="003C2719">
      <w:pPr>
        <w:spacing w:after="0" w:line="360" w:lineRule="auto"/>
        <w:jc w:val="both"/>
        <w:rPr>
          <w:rFonts w:ascii="Garamond" w:hAnsi="Garamond"/>
          <w:b/>
          <w:bCs/>
          <w:i/>
          <w:iCs/>
          <w:sz w:val="24"/>
          <w:szCs w:val="24"/>
        </w:rPr>
      </w:pPr>
      <w:r w:rsidRPr="00E52C57">
        <w:rPr>
          <w:rFonts w:ascii="Garamond" w:hAnsi="Garamond"/>
          <w:b/>
          <w:bCs/>
          <w:i/>
          <w:iCs/>
          <w:sz w:val="24"/>
          <w:szCs w:val="24"/>
        </w:rPr>
        <w:t>Self-Reflection</w:t>
      </w:r>
    </w:p>
    <w:p w14:paraId="75A40288" w14:textId="77777777" w:rsidR="003C2719" w:rsidRDefault="003C2719" w:rsidP="003C2719">
      <w:pPr>
        <w:spacing w:after="0" w:line="360" w:lineRule="auto"/>
        <w:ind w:firstLine="720"/>
        <w:jc w:val="both"/>
        <w:rPr>
          <w:rFonts w:ascii="Garamond" w:hAnsi="Garamond"/>
          <w:sz w:val="24"/>
          <w:szCs w:val="24"/>
        </w:rPr>
      </w:pPr>
      <w:r w:rsidRPr="00E52C57">
        <w:rPr>
          <w:rFonts w:ascii="Garamond" w:hAnsi="Garamond"/>
          <w:sz w:val="24"/>
          <w:szCs w:val="24"/>
        </w:rPr>
        <w:t>The results of the teacher development survey with the reflection indicator show a percentage of 67% in the “ready” category, 4% in the “less ready” category, and 29% in the “highly ready” category, as shown in the following table.</w:t>
      </w:r>
    </w:p>
    <w:p w14:paraId="0017F857" w14:textId="77777777" w:rsidR="000123CA" w:rsidRDefault="000123CA" w:rsidP="003C2719">
      <w:pPr>
        <w:spacing w:after="0" w:line="360" w:lineRule="auto"/>
        <w:ind w:firstLine="720"/>
        <w:jc w:val="both"/>
        <w:rPr>
          <w:rFonts w:ascii="Garamond" w:hAnsi="Garamond"/>
          <w:sz w:val="24"/>
          <w:szCs w:val="24"/>
        </w:rPr>
      </w:pPr>
    </w:p>
    <w:p w14:paraId="13B1A92D" w14:textId="77777777" w:rsidR="000123CA" w:rsidRDefault="000123CA" w:rsidP="003C2719">
      <w:pPr>
        <w:spacing w:after="0" w:line="360" w:lineRule="auto"/>
        <w:ind w:firstLine="720"/>
        <w:jc w:val="both"/>
        <w:rPr>
          <w:rFonts w:ascii="Garamond" w:hAnsi="Garamond"/>
          <w:sz w:val="24"/>
          <w:szCs w:val="24"/>
        </w:rPr>
      </w:pPr>
    </w:p>
    <w:p w14:paraId="09FA9D33" w14:textId="77777777" w:rsidR="000123CA" w:rsidRDefault="000123CA" w:rsidP="003C2719">
      <w:pPr>
        <w:spacing w:after="0" w:line="360" w:lineRule="auto"/>
        <w:ind w:firstLine="720"/>
        <w:jc w:val="both"/>
        <w:rPr>
          <w:rFonts w:ascii="Garamond" w:hAnsi="Garamond"/>
          <w:sz w:val="24"/>
          <w:szCs w:val="24"/>
        </w:rPr>
      </w:pPr>
    </w:p>
    <w:p w14:paraId="77263E66" w14:textId="77777777" w:rsidR="000123CA" w:rsidRDefault="000123CA" w:rsidP="003C2719">
      <w:pPr>
        <w:spacing w:after="0" w:line="360" w:lineRule="auto"/>
        <w:ind w:firstLine="720"/>
        <w:jc w:val="both"/>
        <w:rPr>
          <w:rFonts w:ascii="Garamond" w:hAnsi="Garamond"/>
          <w:sz w:val="24"/>
          <w:szCs w:val="24"/>
        </w:rPr>
      </w:pPr>
    </w:p>
    <w:p w14:paraId="33199C0D" w14:textId="77777777" w:rsidR="000123CA" w:rsidRPr="00E52C57" w:rsidRDefault="000123CA" w:rsidP="003C2719">
      <w:pPr>
        <w:spacing w:after="0" w:line="360" w:lineRule="auto"/>
        <w:ind w:firstLine="720"/>
        <w:jc w:val="both"/>
        <w:rPr>
          <w:rFonts w:ascii="Garamond" w:hAnsi="Garamond"/>
          <w:sz w:val="24"/>
          <w:szCs w:val="24"/>
        </w:rPr>
      </w:pPr>
    </w:p>
    <w:p w14:paraId="30022427" w14:textId="77777777" w:rsidR="003C2719" w:rsidRPr="00E52C57" w:rsidRDefault="003C2719" w:rsidP="003C2719">
      <w:pPr>
        <w:spacing w:after="0" w:line="240" w:lineRule="auto"/>
        <w:jc w:val="center"/>
        <w:rPr>
          <w:rFonts w:ascii="Garamond" w:hAnsi="Garamond"/>
          <w:sz w:val="24"/>
          <w:szCs w:val="24"/>
        </w:rPr>
      </w:pPr>
      <w:r w:rsidRPr="00E52C57">
        <w:rPr>
          <w:rFonts w:ascii="Garamond" w:hAnsi="Garamond"/>
          <w:b/>
          <w:bCs/>
          <w:sz w:val="24"/>
          <w:szCs w:val="24"/>
        </w:rPr>
        <w:lastRenderedPageBreak/>
        <w:t>Table 9.</w:t>
      </w:r>
      <w:r w:rsidRPr="00E52C57">
        <w:rPr>
          <w:rFonts w:ascii="Garamond" w:hAnsi="Garamond"/>
          <w:sz w:val="24"/>
          <w:szCs w:val="24"/>
        </w:rPr>
        <w:t xml:space="preserve"> The Results of the Madrasah Readiness Survey in Implementing the Independent Learning Curriculum at MTsN 1 Bone with the Indicator of Self-Reflection</w:t>
      </w:r>
    </w:p>
    <w:tbl>
      <w:tblPr>
        <w:tblStyle w:val="TableGrid"/>
        <w:tblW w:w="7028"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21"/>
        <w:gridCol w:w="3812"/>
        <w:gridCol w:w="1695"/>
      </w:tblGrid>
      <w:tr w:rsidR="003C2719" w:rsidRPr="00E52C57" w14:paraId="0394D554" w14:textId="77777777" w:rsidTr="001C1799">
        <w:trPr>
          <w:trHeight w:val="304"/>
        </w:trPr>
        <w:tc>
          <w:tcPr>
            <w:tcW w:w="1521" w:type="dxa"/>
            <w:tcBorders>
              <w:top w:val="single" w:sz="4" w:space="0" w:color="auto"/>
              <w:bottom w:val="single" w:sz="4" w:space="0" w:color="auto"/>
            </w:tcBorders>
          </w:tcPr>
          <w:p w14:paraId="5D31B2AD"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Criteria</w:t>
            </w:r>
          </w:p>
        </w:tc>
        <w:tc>
          <w:tcPr>
            <w:tcW w:w="3812" w:type="dxa"/>
            <w:tcBorders>
              <w:top w:val="single" w:sz="4" w:space="0" w:color="auto"/>
              <w:bottom w:val="single" w:sz="4" w:space="0" w:color="auto"/>
            </w:tcBorders>
          </w:tcPr>
          <w:p w14:paraId="56A06DC3"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Score</w:t>
            </w:r>
          </w:p>
        </w:tc>
        <w:tc>
          <w:tcPr>
            <w:tcW w:w="1695" w:type="dxa"/>
            <w:tcBorders>
              <w:top w:val="single" w:sz="4" w:space="0" w:color="auto"/>
              <w:bottom w:val="single" w:sz="4" w:space="0" w:color="auto"/>
            </w:tcBorders>
          </w:tcPr>
          <w:p w14:paraId="639FC6A7"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Percentage</w:t>
            </w:r>
          </w:p>
        </w:tc>
      </w:tr>
      <w:tr w:rsidR="003C2719" w:rsidRPr="00E52C57" w14:paraId="0853C36A" w14:textId="77777777" w:rsidTr="001C1799">
        <w:trPr>
          <w:trHeight w:val="304"/>
        </w:trPr>
        <w:tc>
          <w:tcPr>
            <w:tcW w:w="1521" w:type="dxa"/>
            <w:tcBorders>
              <w:top w:val="single" w:sz="4" w:space="0" w:color="auto"/>
              <w:bottom w:val="single" w:sz="4" w:space="0" w:color="auto"/>
            </w:tcBorders>
          </w:tcPr>
          <w:p w14:paraId="7FC8B720" w14:textId="77777777" w:rsidR="003C2719" w:rsidRPr="00E52C57" w:rsidRDefault="003C2719" w:rsidP="001C1799">
            <w:pPr>
              <w:jc w:val="center"/>
              <w:rPr>
                <w:rFonts w:ascii="Garamond" w:hAnsi="Garamond"/>
                <w:sz w:val="24"/>
                <w:szCs w:val="24"/>
              </w:rPr>
            </w:pPr>
            <w:r w:rsidRPr="00E52C57">
              <w:rPr>
                <w:rFonts w:ascii="Garamond" w:hAnsi="Garamond"/>
                <w:sz w:val="24"/>
                <w:szCs w:val="24"/>
              </w:rPr>
              <w:t>Not Ready</w:t>
            </w:r>
          </w:p>
        </w:tc>
        <w:tc>
          <w:tcPr>
            <w:tcW w:w="3812" w:type="dxa"/>
            <w:tcBorders>
              <w:top w:val="single" w:sz="4" w:space="0" w:color="auto"/>
              <w:bottom w:val="single" w:sz="4" w:space="0" w:color="auto"/>
            </w:tcBorders>
          </w:tcPr>
          <w:p w14:paraId="52264EFE"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 ≤25</m:t>
                </m:r>
              </m:oMath>
            </m:oMathPara>
          </w:p>
        </w:tc>
        <w:tc>
          <w:tcPr>
            <w:tcW w:w="1695" w:type="dxa"/>
            <w:tcBorders>
              <w:top w:val="single" w:sz="4" w:space="0" w:color="auto"/>
              <w:bottom w:val="single" w:sz="4" w:space="0" w:color="auto"/>
            </w:tcBorders>
          </w:tcPr>
          <w:p w14:paraId="22B15698"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0%</m:t>
                </m:r>
              </m:oMath>
            </m:oMathPara>
          </w:p>
        </w:tc>
      </w:tr>
      <w:tr w:rsidR="003C2719" w:rsidRPr="00E52C57" w14:paraId="6F1603C8" w14:textId="77777777" w:rsidTr="001C1799">
        <w:trPr>
          <w:trHeight w:val="304"/>
        </w:trPr>
        <w:tc>
          <w:tcPr>
            <w:tcW w:w="1521" w:type="dxa"/>
            <w:tcBorders>
              <w:top w:val="single" w:sz="4" w:space="0" w:color="auto"/>
              <w:bottom w:val="single" w:sz="4" w:space="0" w:color="auto"/>
            </w:tcBorders>
          </w:tcPr>
          <w:p w14:paraId="107C63D8" w14:textId="77777777" w:rsidR="003C2719" w:rsidRPr="00E52C57" w:rsidRDefault="003C2719" w:rsidP="001C1799">
            <w:pPr>
              <w:jc w:val="center"/>
              <w:rPr>
                <w:rFonts w:ascii="Garamond" w:hAnsi="Garamond"/>
                <w:sz w:val="24"/>
                <w:szCs w:val="24"/>
              </w:rPr>
            </w:pPr>
            <w:r w:rsidRPr="00E52C57">
              <w:rPr>
                <w:rFonts w:ascii="Garamond" w:hAnsi="Garamond"/>
                <w:sz w:val="24"/>
                <w:szCs w:val="24"/>
              </w:rPr>
              <w:t>Less Ready</w:t>
            </w:r>
          </w:p>
        </w:tc>
        <w:tc>
          <w:tcPr>
            <w:tcW w:w="3812" w:type="dxa"/>
            <w:tcBorders>
              <w:top w:val="single" w:sz="4" w:space="0" w:color="auto"/>
              <w:bottom w:val="single" w:sz="4" w:space="0" w:color="auto"/>
            </w:tcBorders>
          </w:tcPr>
          <w:p w14:paraId="0F0F2100"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25&lt;x ≤50</m:t>
                </m:r>
              </m:oMath>
            </m:oMathPara>
          </w:p>
        </w:tc>
        <w:tc>
          <w:tcPr>
            <w:tcW w:w="1695" w:type="dxa"/>
            <w:tcBorders>
              <w:top w:val="single" w:sz="4" w:space="0" w:color="auto"/>
              <w:bottom w:val="single" w:sz="4" w:space="0" w:color="auto"/>
            </w:tcBorders>
          </w:tcPr>
          <w:p w14:paraId="5271B412"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4%</m:t>
                </m:r>
              </m:oMath>
            </m:oMathPara>
          </w:p>
        </w:tc>
      </w:tr>
      <w:tr w:rsidR="003C2719" w:rsidRPr="00E52C57" w14:paraId="1C94E35A" w14:textId="77777777" w:rsidTr="001C1799">
        <w:trPr>
          <w:trHeight w:val="304"/>
        </w:trPr>
        <w:tc>
          <w:tcPr>
            <w:tcW w:w="1521" w:type="dxa"/>
            <w:tcBorders>
              <w:top w:val="single" w:sz="4" w:space="0" w:color="auto"/>
              <w:bottom w:val="single" w:sz="4" w:space="0" w:color="auto"/>
            </w:tcBorders>
          </w:tcPr>
          <w:p w14:paraId="3A9C096A" w14:textId="77777777" w:rsidR="003C2719" w:rsidRPr="00E52C57" w:rsidRDefault="003C2719" w:rsidP="001C1799">
            <w:pPr>
              <w:jc w:val="center"/>
              <w:rPr>
                <w:rFonts w:ascii="Garamond" w:hAnsi="Garamond"/>
                <w:sz w:val="24"/>
                <w:szCs w:val="24"/>
              </w:rPr>
            </w:pPr>
            <w:r w:rsidRPr="00E52C57">
              <w:rPr>
                <w:rFonts w:ascii="Garamond" w:hAnsi="Garamond"/>
                <w:sz w:val="24"/>
                <w:szCs w:val="24"/>
              </w:rPr>
              <w:t>Ready</w:t>
            </w:r>
          </w:p>
        </w:tc>
        <w:tc>
          <w:tcPr>
            <w:tcW w:w="3812" w:type="dxa"/>
            <w:tcBorders>
              <w:top w:val="single" w:sz="4" w:space="0" w:color="auto"/>
              <w:bottom w:val="single" w:sz="4" w:space="0" w:color="auto"/>
            </w:tcBorders>
          </w:tcPr>
          <w:p w14:paraId="0F2207CB"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50&lt;x ≤75</m:t>
                </m:r>
              </m:oMath>
            </m:oMathPara>
          </w:p>
        </w:tc>
        <w:tc>
          <w:tcPr>
            <w:tcW w:w="1695" w:type="dxa"/>
            <w:tcBorders>
              <w:top w:val="single" w:sz="4" w:space="0" w:color="auto"/>
              <w:bottom w:val="single" w:sz="4" w:space="0" w:color="auto"/>
            </w:tcBorders>
          </w:tcPr>
          <w:p w14:paraId="2791B9E2"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67%</m:t>
                </m:r>
              </m:oMath>
            </m:oMathPara>
          </w:p>
        </w:tc>
      </w:tr>
      <w:tr w:rsidR="003C2719" w:rsidRPr="00E52C57" w14:paraId="3F730738" w14:textId="77777777" w:rsidTr="001C1799">
        <w:trPr>
          <w:trHeight w:val="304"/>
        </w:trPr>
        <w:tc>
          <w:tcPr>
            <w:tcW w:w="1521" w:type="dxa"/>
            <w:tcBorders>
              <w:top w:val="single" w:sz="4" w:space="0" w:color="auto"/>
              <w:bottom w:val="single" w:sz="4" w:space="0" w:color="auto"/>
            </w:tcBorders>
          </w:tcPr>
          <w:p w14:paraId="16E2BBC7" w14:textId="77777777" w:rsidR="003C2719" w:rsidRPr="00E52C57" w:rsidRDefault="003C2719" w:rsidP="001C1799">
            <w:pPr>
              <w:jc w:val="center"/>
              <w:rPr>
                <w:rFonts w:ascii="Garamond" w:hAnsi="Garamond"/>
                <w:sz w:val="24"/>
                <w:szCs w:val="24"/>
              </w:rPr>
            </w:pPr>
            <w:r w:rsidRPr="00E52C57">
              <w:rPr>
                <w:rFonts w:ascii="Garamond" w:hAnsi="Garamond"/>
                <w:sz w:val="24"/>
                <w:szCs w:val="24"/>
              </w:rPr>
              <w:t>Highly Ready</w:t>
            </w:r>
          </w:p>
        </w:tc>
        <w:tc>
          <w:tcPr>
            <w:tcW w:w="3812" w:type="dxa"/>
            <w:tcBorders>
              <w:top w:val="single" w:sz="4" w:space="0" w:color="auto"/>
              <w:bottom w:val="single" w:sz="4" w:space="0" w:color="auto"/>
            </w:tcBorders>
          </w:tcPr>
          <w:p w14:paraId="134A9118"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x&gt;75</m:t>
                </m:r>
              </m:oMath>
            </m:oMathPara>
          </w:p>
        </w:tc>
        <w:tc>
          <w:tcPr>
            <w:tcW w:w="1695" w:type="dxa"/>
            <w:tcBorders>
              <w:top w:val="single" w:sz="4" w:space="0" w:color="auto"/>
              <w:bottom w:val="single" w:sz="4" w:space="0" w:color="auto"/>
            </w:tcBorders>
          </w:tcPr>
          <w:p w14:paraId="2EAD0A5B"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29%</m:t>
                </m:r>
              </m:oMath>
            </m:oMathPara>
          </w:p>
        </w:tc>
      </w:tr>
      <w:tr w:rsidR="003C2719" w:rsidRPr="00E52C57" w14:paraId="30EF8605" w14:textId="77777777" w:rsidTr="001C1799">
        <w:trPr>
          <w:trHeight w:val="304"/>
        </w:trPr>
        <w:tc>
          <w:tcPr>
            <w:tcW w:w="5333" w:type="dxa"/>
            <w:gridSpan w:val="2"/>
            <w:tcBorders>
              <w:top w:val="single" w:sz="4" w:space="0" w:color="auto"/>
              <w:bottom w:val="single" w:sz="4" w:space="0" w:color="auto"/>
            </w:tcBorders>
          </w:tcPr>
          <w:p w14:paraId="3AE8D818" w14:textId="77777777" w:rsidR="003C2719" w:rsidRPr="00E52C57" w:rsidRDefault="003C2719" w:rsidP="001C1799">
            <w:pPr>
              <w:jc w:val="center"/>
              <w:rPr>
                <w:rFonts w:ascii="Garamond" w:hAnsi="Garamond"/>
                <w:sz w:val="24"/>
                <w:szCs w:val="24"/>
              </w:rPr>
            </w:pPr>
            <w:r w:rsidRPr="00E52C57">
              <w:rPr>
                <w:rFonts w:ascii="Garamond" w:hAnsi="Garamond"/>
                <w:sz w:val="24"/>
                <w:szCs w:val="24"/>
              </w:rPr>
              <w:t>Total</w:t>
            </w:r>
          </w:p>
        </w:tc>
        <w:tc>
          <w:tcPr>
            <w:tcW w:w="1695" w:type="dxa"/>
            <w:tcBorders>
              <w:top w:val="single" w:sz="4" w:space="0" w:color="auto"/>
              <w:bottom w:val="single" w:sz="4" w:space="0" w:color="auto"/>
            </w:tcBorders>
          </w:tcPr>
          <w:p w14:paraId="11B6E803"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100%</m:t>
                </m:r>
              </m:oMath>
            </m:oMathPara>
          </w:p>
        </w:tc>
      </w:tr>
    </w:tbl>
    <w:p w14:paraId="6FF539DE" w14:textId="77777777" w:rsidR="003C2719" w:rsidRPr="00E52C57" w:rsidRDefault="003C2719" w:rsidP="003C2719">
      <w:pPr>
        <w:spacing w:after="0" w:line="360" w:lineRule="auto"/>
        <w:ind w:firstLine="720"/>
        <w:jc w:val="both"/>
        <w:rPr>
          <w:rFonts w:ascii="Garamond" w:hAnsi="Garamond"/>
          <w:sz w:val="24"/>
          <w:szCs w:val="24"/>
        </w:rPr>
      </w:pPr>
    </w:p>
    <w:p w14:paraId="2DB9E180" w14:textId="77777777" w:rsidR="003C2719" w:rsidRPr="00E52C57" w:rsidRDefault="003C2719" w:rsidP="003C2719">
      <w:pPr>
        <w:pStyle w:val="ListParagraph"/>
        <w:spacing w:line="360" w:lineRule="auto"/>
        <w:ind w:left="0" w:firstLine="709"/>
        <w:jc w:val="both"/>
        <w:rPr>
          <w:rFonts w:ascii="Garamond" w:hAnsi="Garamond"/>
          <w:sz w:val="24"/>
          <w:szCs w:val="24"/>
        </w:rPr>
      </w:pPr>
      <w:r w:rsidRPr="00E52C57">
        <w:rPr>
          <w:rFonts w:ascii="Garamond" w:hAnsi="Garamond"/>
          <w:sz w:val="24"/>
          <w:szCs w:val="24"/>
        </w:rPr>
        <w:t>Based on the interview results with the Vice Principal for Curriculum and several 7th-grade teachers regarding the self-reflection process in preparing for the implementation of the Independent Learning Curriculum, it was done by attending both offline and online training and reading the Independent Learning Curriculum guidelines independently. Meanwhile, the students have been given an explanation about the Independent Learning Curriculum during the MATSAMA activity.</w:t>
      </w:r>
    </w:p>
    <w:p w14:paraId="4F0CBC0C" w14:textId="77777777" w:rsidR="003C2719" w:rsidRDefault="003C2719" w:rsidP="003C2719">
      <w:pPr>
        <w:pStyle w:val="ListParagraph"/>
        <w:spacing w:line="360" w:lineRule="auto"/>
        <w:ind w:left="0" w:firstLine="709"/>
        <w:jc w:val="both"/>
        <w:rPr>
          <w:rFonts w:ascii="Garamond" w:hAnsi="Garamond"/>
          <w:sz w:val="24"/>
          <w:szCs w:val="24"/>
        </w:rPr>
      </w:pPr>
      <w:r w:rsidRPr="00E52C57">
        <w:rPr>
          <w:rFonts w:ascii="Garamond" w:hAnsi="Garamond"/>
          <w:sz w:val="24"/>
          <w:szCs w:val="24"/>
        </w:rPr>
        <w:t>Based on the research results, it can be concluded that the MTsN 1 Bone teachers prepare themselves and always reflect back to understand and develop themselves in implementing the Independent Learning Curriculum.</w:t>
      </w:r>
    </w:p>
    <w:p w14:paraId="31331BE3" w14:textId="77777777" w:rsidR="002C58ED" w:rsidRPr="00E52C57" w:rsidRDefault="002C58ED" w:rsidP="003C2719">
      <w:pPr>
        <w:pStyle w:val="ListParagraph"/>
        <w:spacing w:line="360" w:lineRule="auto"/>
        <w:ind w:left="0" w:firstLine="709"/>
        <w:jc w:val="both"/>
        <w:rPr>
          <w:rFonts w:ascii="Garamond" w:hAnsi="Garamond"/>
          <w:sz w:val="24"/>
          <w:szCs w:val="24"/>
          <w:lang w:val="en-ID"/>
        </w:rPr>
      </w:pPr>
    </w:p>
    <w:p w14:paraId="3696FC51" w14:textId="1555678E" w:rsidR="003C2719" w:rsidRPr="00E52C57" w:rsidRDefault="003C2719" w:rsidP="003C2719">
      <w:pPr>
        <w:spacing w:after="0" w:line="360" w:lineRule="auto"/>
        <w:jc w:val="both"/>
        <w:rPr>
          <w:rFonts w:ascii="Garamond" w:hAnsi="Garamond"/>
          <w:b/>
          <w:bCs/>
          <w:i/>
          <w:iCs/>
          <w:sz w:val="24"/>
          <w:szCs w:val="24"/>
        </w:rPr>
      </w:pPr>
      <w:r w:rsidRPr="00E52C57">
        <w:rPr>
          <w:rFonts w:ascii="Garamond" w:hAnsi="Garamond"/>
          <w:b/>
          <w:bCs/>
          <w:i/>
          <w:iCs/>
          <w:sz w:val="24"/>
          <w:szCs w:val="24"/>
        </w:rPr>
        <w:t>Instructional Planning</w:t>
      </w:r>
    </w:p>
    <w:p w14:paraId="595A6EBD" w14:textId="77777777" w:rsidR="003C2719" w:rsidRPr="00E52C57" w:rsidRDefault="003C2719" w:rsidP="003C2719">
      <w:pPr>
        <w:spacing w:after="0" w:line="360" w:lineRule="auto"/>
        <w:ind w:firstLine="720"/>
        <w:jc w:val="both"/>
        <w:rPr>
          <w:rFonts w:ascii="Garamond" w:hAnsi="Garamond"/>
          <w:sz w:val="24"/>
          <w:szCs w:val="24"/>
        </w:rPr>
      </w:pPr>
      <w:r w:rsidRPr="00E52C57">
        <w:rPr>
          <w:rFonts w:ascii="Garamond" w:hAnsi="Garamond"/>
          <w:sz w:val="24"/>
          <w:szCs w:val="24"/>
        </w:rPr>
        <w:t>Based on the results of the questionnaire on teacher dimensions with the indicator of instructional planning, it shows that 5% are in the "less ready" category, 81% are in the "ready" category, and 14% are in the "highly ready" category, as shown in the following table.</w:t>
      </w:r>
    </w:p>
    <w:p w14:paraId="7D573527" w14:textId="77777777" w:rsidR="003C2719" w:rsidRPr="00E52C57" w:rsidRDefault="003C2719" w:rsidP="003C2719">
      <w:pPr>
        <w:spacing w:after="0" w:line="240" w:lineRule="auto"/>
        <w:jc w:val="center"/>
        <w:rPr>
          <w:rFonts w:ascii="Garamond" w:hAnsi="Garamond"/>
          <w:sz w:val="24"/>
          <w:szCs w:val="24"/>
        </w:rPr>
      </w:pPr>
      <w:r w:rsidRPr="00E52C57">
        <w:rPr>
          <w:rFonts w:ascii="Garamond" w:hAnsi="Garamond"/>
          <w:b/>
          <w:bCs/>
          <w:sz w:val="24"/>
          <w:szCs w:val="24"/>
        </w:rPr>
        <w:t>Table 10.</w:t>
      </w:r>
      <w:r w:rsidRPr="00E52C57">
        <w:rPr>
          <w:rFonts w:ascii="Garamond" w:hAnsi="Garamond"/>
          <w:sz w:val="24"/>
          <w:szCs w:val="24"/>
        </w:rPr>
        <w:t xml:space="preserve"> Results of the Madrasah Readiness Survey in Implementing the Independent Learning Curriculum at MTsN 1 Bone with the Instructional Planning Indicator</w:t>
      </w:r>
    </w:p>
    <w:tbl>
      <w:tblPr>
        <w:tblStyle w:val="TableGrid"/>
        <w:tblW w:w="7098"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36"/>
        <w:gridCol w:w="3850"/>
        <w:gridCol w:w="1712"/>
      </w:tblGrid>
      <w:tr w:rsidR="003C2719" w:rsidRPr="00E52C57" w14:paraId="7410DDF7" w14:textId="77777777" w:rsidTr="001C1799">
        <w:trPr>
          <w:trHeight w:val="278"/>
        </w:trPr>
        <w:tc>
          <w:tcPr>
            <w:tcW w:w="1536" w:type="dxa"/>
            <w:tcBorders>
              <w:top w:val="single" w:sz="4" w:space="0" w:color="auto"/>
              <w:bottom w:val="single" w:sz="4" w:space="0" w:color="auto"/>
            </w:tcBorders>
          </w:tcPr>
          <w:p w14:paraId="159F19F9"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Criteria</w:t>
            </w:r>
          </w:p>
        </w:tc>
        <w:tc>
          <w:tcPr>
            <w:tcW w:w="3850" w:type="dxa"/>
            <w:tcBorders>
              <w:top w:val="single" w:sz="4" w:space="0" w:color="auto"/>
              <w:bottom w:val="single" w:sz="4" w:space="0" w:color="auto"/>
            </w:tcBorders>
          </w:tcPr>
          <w:p w14:paraId="13B4223A"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Score</w:t>
            </w:r>
          </w:p>
        </w:tc>
        <w:tc>
          <w:tcPr>
            <w:tcW w:w="1712" w:type="dxa"/>
            <w:tcBorders>
              <w:top w:val="single" w:sz="4" w:space="0" w:color="auto"/>
              <w:bottom w:val="single" w:sz="4" w:space="0" w:color="auto"/>
            </w:tcBorders>
          </w:tcPr>
          <w:p w14:paraId="0091CA77"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Percentage</w:t>
            </w:r>
          </w:p>
        </w:tc>
      </w:tr>
      <w:tr w:rsidR="003C2719" w:rsidRPr="00E52C57" w14:paraId="493F6DE6" w14:textId="77777777" w:rsidTr="001C1799">
        <w:trPr>
          <w:trHeight w:val="278"/>
        </w:trPr>
        <w:tc>
          <w:tcPr>
            <w:tcW w:w="1536" w:type="dxa"/>
            <w:tcBorders>
              <w:top w:val="single" w:sz="4" w:space="0" w:color="auto"/>
              <w:bottom w:val="single" w:sz="4" w:space="0" w:color="auto"/>
            </w:tcBorders>
          </w:tcPr>
          <w:p w14:paraId="4620496A" w14:textId="77777777" w:rsidR="003C2719" w:rsidRPr="00E52C57" w:rsidRDefault="003C2719" w:rsidP="001C1799">
            <w:pPr>
              <w:jc w:val="center"/>
              <w:rPr>
                <w:rFonts w:ascii="Garamond" w:hAnsi="Garamond"/>
                <w:sz w:val="24"/>
                <w:szCs w:val="24"/>
              </w:rPr>
            </w:pPr>
            <w:r w:rsidRPr="00E52C57">
              <w:rPr>
                <w:rFonts w:ascii="Garamond" w:hAnsi="Garamond"/>
                <w:sz w:val="24"/>
                <w:szCs w:val="24"/>
              </w:rPr>
              <w:t>Not Ready</w:t>
            </w:r>
          </w:p>
        </w:tc>
        <w:tc>
          <w:tcPr>
            <w:tcW w:w="3850" w:type="dxa"/>
            <w:tcBorders>
              <w:top w:val="single" w:sz="4" w:space="0" w:color="auto"/>
              <w:bottom w:val="single" w:sz="4" w:space="0" w:color="auto"/>
            </w:tcBorders>
          </w:tcPr>
          <w:p w14:paraId="5FAD301D"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 ≤25</m:t>
                </m:r>
              </m:oMath>
            </m:oMathPara>
          </w:p>
        </w:tc>
        <w:tc>
          <w:tcPr>
            <w:tcW w:w="1712" w:type="dxa"/>
            <w:tcBorders>
              <w:top w:val="single" w:sz="4" w:space="0" w:color="auto"/>
              <w:bottom w:val="single" w:sz="4" w:space="0" w:color="auto"/>
            </w:tcBorders>
          </w:tcPr>
          <w:p w14:paraId="121BA2C0"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0%</m:t>
                </m:r>
              </m:oMath>
            </m:oMathPara>
          </w:p>
        </w:tc>
      </w:tr>
      <w:tr w:rsidR="003C2719" w:rsidRPr="00E52C57" w14:paraId="136F166A" w14:textId="77777777" w:rsidTr="001C1799">
        <w:trPr>
          <w:trHeight w:val="278"/>
        </w:trPr>
        <w:tc>
          <w:tcPr>
            <w:tcW w:w="1536" w:type="dxa"/>
            <w:tcBorders>
              <w:top w:val="single" w:sz="4" w:space="0" w:color="auto"/>
              <w:bottom w:val="single" w:sz="4" w:space="0" w:color="auto"/>
            </w:tcBorders>
          </w:tcPr>
          <w:p w14:paraId="2167FBB4" w14:textId="77777777" w:rsidR="003C2719" w:rsidRPr="00E52C57" w:rsidRDefault="003C2719" w:rsidP="001C1799">
            <w:pPr>
              <w:jc w:val="center"/>
              <w:rPr>
                <w:rFonts w:ascii="Garamond" w:hAnsi="Garamond"/>
                <w:sz w:val="24"/>
                <w:szCs w:val="24"/>
              </w:rPr>
            </w:pPr>
            <w:r w:rsidRPr="00E52C57">
              <w:rPr>
                <w:rFonts w:ascii="Garamond" w:hAnsi="Garamond"/>
                <w:sz w:val="24"/>
                <w:szCs w:val="24"/>
              </w:rPr>
              <w:t>Less Ready</w:t>
            </w:r>
          </w:p>
        </w:tc>
        <w:tc>
          <w:tcPr>
            <w:tcW w:w="3850" w:type="dxa"/>
            <w:tcBorders>
              <w:top w:val="single" w:sz="4" w:space="0" w:color="auto"/>
              <w:bottom w:val="single" w:sz="4" w:space="0" w:color="auto"/>
            </w:tcBorders>
          </w:tcPr>
          <w:p w14:paraId="2D2FF87E"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25&lt;x ≤50</m:t>
                </m:r>
              </m:oMath>
            </m:oMathPara>
          </w:p>
        </w:tc>
        <w:tc>
          <w:tcPr>
            <w:tcW w:w="1712" w:type="dxa"/>
            <w:tcBorders>
              <w:top w:val="single" w:sz="4" w:space="0" w:color="auto"/>
              <w:bottom w:val="single" w:sz="4" w:space="0" w:color="auto"/>
            </w:tcBorders>
          </w:tcPr>
          <w:p w14:paraId="245CB3EB"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m:t>
                </m:r>
              </m:oMath>
            </m:oMathPara>
          </w:p>
        </w:tc>
      </w:tr>
      <w:tr w:rsidR="003C2719" w:rsidRPr="00E52C57" w14:paraId="43709BEE" w14:textId="77777777" w:rsidTr="001C1799">
        <w:trPr>
          <w:trHeight w:val="278"/>
        </w:trPr>
        <w:tc>
          <w:tcPr>
            <w:tcW w:w="1536" w:type="dxa"/>
            <w:tcBorders>
              <w:top w:val="single" w:sz="4" w:space="0" w:color="auto"/>
              <w:bottom w:val="single" w:sz="4" w:space="0" w:color="auto"/>
            </w:tcBorders>
          </w:tcPr>
          <w:p w14:paraId="27BBA465" w14:textId="77777777" w:rsidR="003C2719" w:rsidRPr="00E52C57" w:rsidRDefault="003C2719" w:rsidP="001C1799">
            <w:pPr>
              <w:jc w:val="center"/>
              <w:rPr>
                <w:rFonts w:ascii="Garamond" w:hAnsi="Garamond"/>
                <w:sz w:val="24"/>
                <w:szCs w:val="24"/>
              </w:rPr>
            </w:pPr>
            <w:r w:rsidRPr="00E52C57">
              <w:rPr>
                <w:rFonts w:ascii="Garamond" w:hAnsi="Garamond"/>
                <w:sz w:val="24"/>
                <w:szCs w:val="24"/>
              </w:rPr>
              <w:t>Ready</w:t>
            </w:r>
          </w:p>
        </w:tc>
        <w:tc>
          <w:tcPr>
            <w:tcW w:w="3850" w:type="dxa"/>
            <w:tcBorders>
              <w:top w:val="single" w:sz="4" w:space="0" w:color="auto"/>
              <w:bottom w:val="single" w:sz="4" w:space="0" w:color="auto"/>
            </w:tcBorders>
          </w:tcPr>
          <w:p w14:paraId="649E7FE5"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50&lt;x ≤75</m:t>
                </m:r>
              </m:oMath>
            </m:oMathPara>
          </w:p>
        </w:tc>
        <w:tc>
          <w:tcPr>
            <w:tcW w:w="1712" w:type="dxa"/>
            <w:tcBorders>
              <w:top w:val="single" w:sz="4" w:space="0" w:color="auto"/>
              <w:bottom w:val="single" w:sz="4" w:space="0" w:color="auto"/>
            </w:tcBorders>
          </w:tcPr>
          <w:p w14:paraId="2F9D5FCA"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81%</m:t>
                </m:r>
              </m:oMath>
            </m:oMathPara>
          </w:p>
        </w:tc>
      </w:tr>
      <w:tr w:rsidR="003C2719" w:rsidRPr="00E52C57" w14:paraId="0F67033E" w14:textId="77777777" w:rsidTr="001C1799">
        <w:trPr>
          <w:trHeight w:val="278"/>
        </w:trPr>
        <w:tc>
          <w:tcPr>
            <w:tcW w:w="1536" w:type="dxa"/>
            <w:tcBorders>
              <w:top w:val="single" w:sz="4" w:space="0" w:color="auto"/>
              <w:bottom w:val="single" w:sz="4" w:space="0" w:color="auto"/>
            </w:tcBorders>
          </w:tcPr>
          <w:p w14:paraId="521AC13E" w14:textId="77777777" w:rsidR="003C2719" w:rsidRPr="00E52C57" w:rsidRDefault="003C2719" w:rsidP="001C1799">
            <w:pPr>
              <w:jc w:val="center"/>
              <w:rPr>
                <w:rFonts w:ascii="Garamond" w:hAnsi="Garamond"/>
                <w:sz w:val="24"/>
                <w:szCs w:val="24"/>
              </w:rPr>
            </w:pPr>
            <w:r w:rsidRPr="00E52C57">
              <w:rPr>
                <w:rFonts w:ascii="Garamond" w:hAnsi="Garamond"/>
                <w:sz w:val="24"/>
                <w:szCs w:val="24"/>
              </w:rPr>
              <w:t>Highly Ready</w:t>
            </w:r>
          </w:p>
        </w:tc>
        <w:tc>
          <w:tcPr>
            <w:tcW w:w="3850" w:type="dxa"/>
            <w:tcBorders>
              <w:top w:val="single" w:sz="4" w:space="0" w:color="auto"/>
              <w:bottom w:val="single" w:sz="4" w:space="0" w:color="auto"/>
            </w:tcBorders>
          </w:tcPr>
          <w:p w14:paraId="677441CF"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x&gt;75</m:t>
                </m:r>
              </m:oMath>
            </m:oMathPara>
          </w:p>
        </w:tc>
        <w:tc>
          <w:tcPr>
            <w:tcW w:w="1712" w:type="dxa"/>
            <w:tcBorders>
              <w:top w:val="single" w:sz="4" w:space="0" w:color="auto"/>
              <w:bottom w:val="single" w:sz="4" w:space="0" w:color="auto"/>
            </w:tcBorders>
          </w:tcPr>
          <w:p w14:paraId="720D9DAE"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14%</m:t>
                </m:r>
              </m:oMath>
            </m:oMathPara>
          </w:p>
        </w:tc>
      </w:tr>
      <w:tr w:rsidR="003C2719" w:rsidRPr="00E52C57" w14:paraId="2EDEBF95" w14:textId="77777777" w:rsidTr="001C1799">
        <w:trPr>
          <w:trHeight w:val="278"/>
        </w:trPr>
        <w:tc>
          <w:tcPr>
            <w:tcW w:w="5386" w:type="dxa"/>
            <w:gridSpan w:val="2"/>
            <w:tcBorders>
              <w:top w:val="single" w:sz="4" w:space="0" w:color="auto"/>
              <w:bottom w:val="single" w:sz="4" w:space="0" w:color="auto"/>
            </w:tcBorders>
          </w:tcPr>
          <w:p w14:paraId="7DF40BB4" w14:textId="77777777" w:rsidR="003C2719" w:rsidRPr="00E52C57" w:rsidRDefault="003C2719" w:rsidP="001C1799">
            <w:pPr>
              <w:jc w:val="center"/>
              <w:rPr>
                <w:rFonts w:ascii="Garamond" w:hAnsi="Garamond"/>
                <w:sz w:val="24"/>
                <w:szCs w:val="24"/>
              </w:rPr>
            </w:pPr>
            <w:r w:rsidRPr="00E52C57">
              <w:rPr>
                <w:rFonts w:ascii="Garamond" w:hAnsi="Garamond"/>
                <w:sz w:val="24"/>
                <w:szCs w:val="24"/>
              </w:rPr>
              <w:t>Total</w:t>
            </w:r>
          </w:p>
        </w:tc>
        <w:tc>
          <w:tcPr>
            <w:tcW w:w="1712" w:type="dxa"/>
            <w:tcBorders>
              <w:top w:val="single" w:sz="4" w:space="0" w:color="auto"/>
              <w:bottom w:val="single" w:sz="4" w:space="0" w:color="auto"/>
            </w:tcBorders>
          </w:tcPr>
          <w:p w14:paraId="167202B6"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100%</m:t>
                </m:r>
              </m:oMath>
            </m:oMathPara>
          </w:p>
        </w:tc>
      </w:tr>
    </w:tbl>
    <w:p w14:paraId="32688B33" w14:textId="77777777" w:rsidR="003C2719" w:rsidRPr="00E52C57" w:rsidRDefault="003C2719" w:rsidP="003C2719">
      <w:pPr>
        <w:spacing w:after="0" w:line="360" w:lineRule="auto"/>
        <w:ind w:firstLine="720"/>
        <w:jc w:val="both"/>
        <w:rPr>
          <w:rFonts w:ascii="Garamond" w:hAnsi="Garamond"/>
          <w:sz w:val="24"/>
          <w:szCs w:val="24"/>
        </w:rPr>
      </w:pPr>
    </w:p>
    <w:p w14:paraId="6FB0F5B9" w14:textId="77777777" w:rsidR="003C2719" w:rsidRPr="00E52C57" w:rsidRDefault="003C2719" w:rsidP="003C2719">
      <w:pPr>
        <w:pStyle w:val="ListParagraph"/>
        <w:spacing w:line="360" w:lineRule="auto"/>
        <w:ind w:left="0" w:firstLine="709"/>
        <w:jc w:val="both"/>
        <w:rPr>
          <w:rFonts w:ascii="Garamond" w:hAnsi="Garamond"/>
          <w:sz w:val="24"/>
          <w:szCs w:val="24"/>
        </w:rPr>
      </w:pPr>
      <w:r w:rsidRPr="00E52C57">
        <w:rPr>
          <w:rFonts w:ascii="Garamond" w:hAnsi="Garamond"/>
          <w:sz w:val="24"/>
          <w:szCs w:val="24"/>
        </w:rPr>
        <w:t xml:space="preserve">Based on the results of an interview with the Vice Principal for Curriculum, the learning plan at MTsN 1 Bone is aligned with the current KMA 347. Since the school uses two curricula, the planning is also adjusted. K13 is planned for grades VIII and IX, and the Independent Learning Curriculum is planned for grade VII. The learning plan is created before the learning process begins at the beginning of the academic year, involving all stakeholders in the madrasah, </w:t>
      </w:r>
      <w:r w:rsidRPr="00E52C57">
        <w:rPr>
          <w:rFonts w:ascii="Garamond" w:hAnsi="Garamond"/>
          <w:sz w:val="24"/>
          <w:szCs w:val="24"/>
        </w:rPr>
        <w:lastRenderedPageBreak/>
        <w:t>including the Principal, Vice Principal for Curriculum, teachers of each subject, and even parents/guardians of students.</w:t>
      </w:r>
    </w:p>
    <w:p w14:paraId="72CF9E02" w14:textId="77777777" w:rsidR="003C2719" w:rsidRPr="00E52C57" w:rsidRDefault="003C2719" w:rsidP="003C2719">
      <w:pPr>
        <w:pStyle w:val="ListParagraph"/>
        <w:spacing w:line="360" w:lineRule="auto"/>
        <w:ind w:left="0" w:firstLine="709"/>
        <w:jc w:val="both"/>
        <w:rPr>
          <w:rFonts w:ascii="Garamond" w:hAnsi="Garamond"/>
          <w:sz w:val="24"/>
          <w:szCs w:val="24"/>
        </w:rPr>
      </w:pPr>
      <w:r w:rsidRPr="00E52C57">
        <w:rPr>
          <w:rFonts w:ascii="Garamond" w:hAnsi="Garamond"/>
          <w:sz w:val="24"/>
          <w:szCs w:val="24"/>
        </w:rPr>
        <w:t>In an interview with grade VII mathematics teacher Masyita, she said that the learning plan for the Independent Learning Curriculum begins with the development of learning devices by analyzing the Learning Outcomes (LO) to achieve the Learning Objectives. We also strive to create teaching modules that are tailored to the needs of our students at MTsN 1 Bone.</w:t>
      </w:r>
    </w:p>
    <w:p w14:paraId="21EDB0D5" w14:textId="77777777" w:rsidR="003C2719" w:rsidRDefault="003C2719" w:rsidP="003C2719">
      <w:pPr>
        <w:pStyle w:val="ListParagraph"/>
        <w:spacing w:line="360" w:lineRule="auto"/>
        <w:ind w:left="0" w:firstLine="709"/>
        <w:jc w:val="both"/>
        <w:rPr>
          <w:rFonts w:ascii="Garamond" w:hAnsi="Garamond"/>
          <w:sz w:val="24"/>
          <w:szCs w:val="24"/>
        </w:rPr>
      </w:pPr>
      <w:r w:rsidRPr="00E52C57">
        <w:rPr>
          <w:rFonts w:ascii="Garamond" w:hAnsi="Garamond"/>
          <w:sz w:val="24"/>
          <w:szCs w:val="24"/>
        </w:rPr>
        <w:t>Based on the results of the above research, it can be concluded that MTsN 1 Bone is ready to plan learning. This can be seen from the preparation of the Learning Outcomes (LO) for each subject by inviting all stakeholders in the madrasah.</w:t>
      </w:r>
    </w:p>
    <w:p w14:paraId="36A5A9D4" w14:textId="77777777" w:rsidR="003C2719" w:rsidRPr="00E52C57" w:rsidRDefault="003C2719" w:rsidP="003C2719">
      <w:pPr>
        <w:pStyle w:val="ListParagraph"/>
        <w:spacing w:after="0" w:line="360" w:lineRule="auto"/>
        <w:ind w:left="0"/>
        <w:jc w:val="both"/>
        <w:rPr>
          <w:rFonts w:ascii="Garamond" w:hAnsi="Garamond"/>
          <w:b/>
          <w:bCs/>
          <w:i/>
          <w:iCs/>
          <w:sz w:val="24"/>
          <w:szCs w:val="24"/>
        </w:rPr>
      </w:pPr>
      <w:r w:rsidRPr="00E52C57">
        <w:rPr>
          <w:rFonts w:ascii="Garamond" w:hAnsi="Garamond"/>
          <w:b/>
          <w:bCs/>
          <w:i/>
          <w:iCs/>
          <w:sz w:val="24"/>
          <w:szCs w:val="24"/>
        </w:rPr>
        <w:t>Learning Process</w:t>
      </w:r>
    </w:p>
    <w:p w14:paraId="432E009F" w14:textId="31F3D405" w:rsidR="002C58ED" w:rsidRDefault="003C2719" w:rsidP="003C2719">
      <w:pPr>
        <w:pStyle w:val="ListParagraph"/>
        <w:spacing w:after="0" w:line="360" w:lineRule="auto"/>
        <w:ind w:left="0" w:firstLine="709"/>
        <w:jc w:val="both"/>
        <w:rPr>
          <w:rFonts w:ascii="Garamond" w:hAnsi="Garamond"/>
          <w:sz w:val="24"/>
          <w:szCs w:val="24"/>
        </w:rPr>
      </w:pPr>
      <w:r w:rsidRPr="00E52C57">
        <w:rPr>
          <w:rFonts w:ascii="Garamond" w:hAnsi="Garamond"/>
          <w:sz w:val="24"/>
          <w:szCs w:val="24"/>
        </w:rPr>
        <w:t>Based on the results of the survey with learning process indicators, it shows that 5% are in the "less ready" category, 81% are in the "ready" category, and 14% are in the "highly ready" category, as shown in the following table.</w:t>
      </w:r>
    </w:p>
    <w:p w14:paraId="2092E3FA" w14:textId="77777777" w:rsidR="002C58ED" w:rsidRPr="00E52C57" w:rsidRDefault="002C58ED" w:rsidP="003C2719">
      <w:pPr>
        <w:pStyle w:val="ListParagraph"/>
        <w:spacing w:after="0" w:line="360" w:lineRule="auto"/>
        <w:ind w:left="0" w:firstLine="709"/>
        <w:jc w:val="both"/>
        <w:rPr>
          <w:rFonts w:ascii="Garamond" w:hAnsi="Garamond"/>
          <w:sz w:val="24"/>
          <w:szCs w:val="24"/>
        </w:rPr>
      </w:pPr>
    </w:p>
    <w:p w14:paraId="67B34E76" w14:textId="77777777" w:rsidR="003C2719" w:rsidRPr="00E52C57" w:rsidRDefault="003C2719" w:rsidP="003C2719">
      <w:pPr>
        <w:spacing w:after="0" w:line="240" w:lineRule="auto"/>
        <w:jc w:val="center"/>
        <w:rPr>
          <w:rFonts w:ascii="Garamond" w:hAnsi="Garamond"/>
          <w:sz w:val="24"/>
          <w:szCs w:val="24"/>
        </w:rPr>
      </w:pPr>
      <w:r w:rsidRPr="00E52C57">
        <w:rPr>
          <w:rFonts w:ascii="Garamond" w:hAnsi="Garamond"/>
          <w:b/>
          <w:bCs/>
          <w:sz w:val="24"/>
          <w:szCs w:val="24"/>
        </w:rPr>
        <w:t>Table 11.</w:t>
      </w:r>
      <w:r w:rsidRPr="00E52C57">
        <w:rPr>
          <w:rFonts w:ascii="Garamond" w:hAnsi="Garamond"/>
          <w:sz w:val="24"/>
          <w:szCs w:val="24"/>
        </w:rPr>
        <w:t xml:space="preserve"> The Results of the Madrasah Readiness Survey in Implementing the Independent Learning Curriculum at MTsN 1 Bone with Learning Process Indicator</w:t>
      </w:r>
    </w:p>
    <w:tbl>
      <w:tblPr>
        <w:tblStyle w:val="TableGrid"/>
        <w:tblW w:w="7028"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21"/>
        <w:gridCol w:w="3812"/>
        <w:gridCol w:w="1695"/>
      </w:tblGrid>
      <w:tr w:rsidR="003C2719" w:rsidRPr="00E52C57" w14:paraId="57052363" w14:textId="77777777" w:rsidTr="001C1799">
        <w:trPr>
          <w:trHeight w:val="281"/>
        </w:trPr>
        <w:tc>
          <w:tcPr>
            <w:tcW w:w="1521" w:type="dxa"/>
            <w:tcBorders>
              <w:top w:val="single" w:sz="4" w:space="0" w:color="auto"/>
              <w:bottom w:val="single" w:sz="4" w:space="0" w:color="auto"/>
            </w:tcBorders>
          </w:tcPr>
          <w:p w14:paraId="64D5E6DF"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Criteria</w:t>
            </w:r>
          </w:p>
        </w:tc>
        <w:tc>
          <w:tcPr>
            <w:tcW w:w="3812" w:type="dxa"/>
            <w:tcBorders>
              <w:top w:val="single" w:sz="4" w:space="0" w:color="auto"/>
              <w:bottom w:val="single" w:sz="4" w:space="0" w:color="auto"/>
            </w:tcBorders>
          </w:tcPr>
          <w:p w14:paraId="7D06E953"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Score</w:t>
            </w:r>
          </w:p>
        </w:tc>
        <w:tc>
          <w:tcPr>
            <w:tcW w:w="1695" w:type="dxa"/>
            <w:tcBorders>
              <w:top w:val="single" w:sz="4" w:space="0" w:color="auto"/>
              <w:bottom w:val="single" w:sz="4" w:space="0" w:color="auto"/>
            </w:tcBorders>
          </w:tcPr>
          <w:p w14:paraId="0D322013"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Percentage</w:t>
            </w:r>
          </w:p>
        </w:tc>
      </w:tr>
      <w:tr w:rsidR="003C2719" w:rsidRPr="00E52C57" w14:paraId="79A67C7A" w14:textId="77777777" w:rsidTr="001C1799">
        <w:trPr>
          <w:trHeight w:val="281"/>
        </w:trPr>
        <w:tc>
          <w:tcPr>
            <w:tcW w:w="1521" w:type="dxa"/>
            <w:tcBorders>
              <w:top w:val="single" w:sz="4" w:space="0" w:color="auto"/>
              <w:bottom w:val="single" w:sz="4" w:space="0" w:color="auto"/>
            </w:tcBorders>
          </w:tcPr>
          <w:p w14:paraId="7B2B666D" w14:textId="77777777" w:rsidR="003C2719" w:rsidRPr="00E52C57" w:rsidRDefault="003C2719" w:rsidP="001C1799">
            <w:pPr>
              <w:jc w:val="center"/>
              <w:rPr>
                <w:rFonts w:ascii="Garamond" w:hAnsi="Garamond"/>
                <w:sz w:val="24"/>
                <w:szCs w:val="24"/>
              </w:rPr>
            </w:pPr>
            <w:r w:rsidRPr="00E52C57">
              <w:rPr>
                <w:rFonts w:ascii="Garamond" w:hAnsi="Garamond"/>
                <w:sz w:val="24"/>
                <w:szCs w:val="24"/>
              </w:rPr>
              <w:t>Not Ready</w:t>
            </w:r>
          </w:p>
        </w:tc>
        <w:tc>
          <w:tcPr>
            <w:tcW w:w="3812" w:type="dxa"/>
            <w:tcBorders>
              <w:top w:val="single" w:sz="4" w:space="0" w:color="auto"/>
              <w:bottom w:val="single" w:sz="4" w:space="0" w:color="auto"/>
            </w:tcBorders>
          </w:tcPr>
          <w:p w14:paraId="4B055F27"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 ≤25</m:t>
                </m:r>
              </m:oMath>
            </m:oMathPara>
          </w:p>
        </w:tc>
        <w:tc>
          <w:tcPr>
            <w:tcW w:w="1695" w:type="dxa"/>
            <w:tcBorders>
              <w:top w:val="single" w:sz="4" w:space="0" w:color="auto"/>
              <w:bottom w:val="single" w:sz="4" w:space="0" w:color="auto"/>
            </w:tcBorders>
          </w:tcPr>
          <w:p w14:paraId="2820493D"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0%</m:t>
                </m:r>
              </m:oMath>
            </m:oMathPara>
          </w:p>
        </w:tc>
      </w:tr>
      <w:tr w:rsidR="003C2719" w:rsidRPr="00E52C57" w14:paraId="7D97917A" w14:textId="77777777" w:rsidTr="001C1799">
        <w:trPr>
          <w:trHeight w:val="281"/>
        </w:trPr>
        <w:tc>
          <w:tcPr>
            <w:tcW w:w="1521" w:type="dxa"/>
            <w:tcBorders>
              <w:top w:val="single" w:sz="4" w:space="0" w:color="auto"/>
              <w:bottom w:val="single" w:sz="4" w:space="0" w:color="auto"/>
            </w:tcBorders>
          </w:tcPr>
          <w:p w14:paraId="030253ED" w14:textId="77777777" w:rsidR="003C2719" w:rsidRPr="00E52C57" w:rsidRDefault="003C2719" w:rsidP="001C1799">
            <w:pPr>
              <w:jc w:val="center"/>
              <w:rPr>
                <w:rFonts w:ascii="Garamond" w:hAnsi="Garamond"/>
                <w:sz w:val="24"/>
                <w:szCs w:val="24"/>
              </w:rPr>
            </w:pPr>
            <w:r w:rsidRPr="00E52C57">
              <w:rPr>
                <w:rFonts w:ascii="Garamond" w:hAnsi="Garamond"/>
                <w:sz w:val="24"/>
                <w:szCs w:val="24"/>
              </w:rPr>
              <w:t>Less Ready</w:t>
            </w:r>
          </w:p>
        </w:tc>
        <w:tc>
          <w:tcPr>
            <w:tcW w:w="3812" w:type="dxa"/>
            <w:tcBorders>
              <w:top w:val="single" w:sz="4" w:space="0" w:color="auto"/>
              <w:bottom w:val="single" w:sz="4" w:space="0" w:color="auto"/>
            </w:tcBorders>
          </w:tcPr>
          <w:p w14:paraId="0B5A6B77"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25&lt;x ≤50</m:t>
                </m:r>
              </m:oMath>
            </m:oMathPara>
          </w:p>
        </w:tc>
        <w:tc>
          <w:tcPr>
            <w:tcW w:w="1695" w:type="dxa"/>
            <w:tcBorders>
              <w:top w:val="single" w:sz="4" w:space="0" w:color="auto"/>
              <w:bottom w:val="single" w:sz="4" w:space="0" w:color="auto"/>
            </w:tcBorders>
          </w:tcPr>
          <w:p w14:paraId="26D968D6"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m:t>
                </m:r>
              </m:oMath>
            </m:oMathPara>
          </w:p>
        </w:tc>
      </w:tr>
      <w:tr w:rsidR="003C2719" w:rsidRPr="00E52C57" w14:paraId="4668B980" w14:textId="77777777" w:rsidTr="001C1799">
        <w:trPr>
          <w:trHeight w:val="281"/>
        </w:trPr>
        <w:tc>
          <w:tcPr>
            <w:tcW w:w="1521" w:type="dxa"/>
            <w:tcBorders>
              <w:top w:val="single" w:sz="4" w:space="0" w:color="auto"/>
              <w:bottom w:val="single" w:sz="4" w:space="0" w:color="auto"/>
            </w:tcBorders>
          </w:tcPr>
          <w:p w14:paraId="3AB4EBAC" w14:textId="77777777" w:rsidR="003C2719" w:rsidRPr="00E52C57" w:rsidRDefault="003C2719" w:rsidP="001C1799">
            <w:pPr>
              <w:jc w:val="center"/>
              <w:rPr>
                <w:rFonts w:ascii="Garamond" w:hAnsi="Garamond"/>
                <w:sz w:val="24"/>
                <w:szCs w:val="24"/>
              </w:rPr>
            </w:pPr>
            <w:r w:rsidRPr="00E52C57">
              <w:rPr>
                <w:rFonts w:ascii="Garamond" w:hAnsi="Garamond"/>
                <w:sz w:val="24"/>
                <w:szCs w:val="24"/>
              </w:rPr>
              <w:t>Ready</w:t>
            </w:r>
          </w:p>
        </w:tc>
        <w:tc>
          <w:tcPr>
            <w:tcW w:w="3812" w:type="dxa"/>
            <w:tcBorders>
              <w:top w:val="single" w:sz="4" w:space="0" w:color="auto"/>
              <w:bottom w:val="single" w:sz="4" w:space="0" w:color="auto"/>
            </w:tcBorders>
          </w:tcPr>
          <w:p w14:paraId="49C1E865"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50&lt;x ≤75</m:t>
                </m:r>
              </m:oMath>
            </m:oMathPara>
          </w:p>
        </w:tc>
        <w:tc>
          <w:tcPr>
            <w:tcW w:w="1695" w:type="dxa"/>
            <w:tcBorders>
              <w:top w:val="single" w:sz="4" w:space="0" w:color="auto"/>
              <w:bottom w:val="single" w:sz="4" w:space="0" w:color="auto"/>
            </w:tcBorders>
          </w:tcPr>
          <w:p w14:paraId="2EFD4C66"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81%</m:t>
                </m:r>
              </m:oMath>
            </m:oMathPara>
          </w:p>
        </w:tc>
      </w:tr>
      <w:tr w:rsidR="003C2719" w:rsidRPr="00E52C57" w14:paraId="2A89B817" w14:textId="77777777" w:rsidTr="001C1799">
        <w:trPr>
          <w:trHeight w:val="281"/>
        </w:trPr>
        <w:tc>
          <w:tcPr>
            <w:tcW w:w="1521" w:type="dxa"/>
            <w:tcBorders>
              <w:top w:val="single" w:sz="4" w:space="0" w:color="auto"/>
              <w:bottom w:val="single" w:sz="4" w:space="0" w:color="auto"/>
            </w:tcBorders>
          </w:tcPr>
          <w:p w14:paraId="3AA1322D" w14:textId="77777777" w:rsidR="003C2719" w:rsidRPr="00E52C57" w:rsidRDefault="003C2719" w:rsidP="001C1799">
            <w:pPr>
              <w:jc w:val="center"/>
              <w:rPr>
                <w:rFonts w:ascii="Garamond" w:hAnsi="Garamond"/>
                <w:sz w:val="24"/>
                <w:szCs w:val="24"/>
              </w:rPr>
            </w:pPr>
            <w:r w:rsidRPr="00E52C57">
              <w:rPr>
                <w:rFonts w:ascii="Garamond" w:hAnsi="Garamond"/>
                <w:sz w:val="24"/>
                <w:szCs w:val="24"/>
              </w:rPr>
              <w:t>Highly Ready</w:t>
            </w:r>
          </w:p>
        </w:tc>
        <w:tc>
          <w:tcPr>
            <w:tcW w:w="3812" w:type="dxa"/>
            <w:tcBorders>
              <w:top w:val="single" w:sz="4" w:space="0" w:color="auto"/>
              <w:bottom w:val="single" w:sz="4" w:space="0" w:color="auto"/>
            </w:tcBorders>
          </w:tcPr>
          <w:p w14:paraId="550EB78C"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x&gt;75</m:t>
                </m:r>
              </m:oMath>
            </m:oMathPara>
          </w:p>
        </w:tc>
        <w:tc>
          <w:tcPr>
            <w:tcW w:w="1695" w:type="dxa"/>
            <w:tcBorders>
              <w:top w:val="single" w:sz="4" w:space="0" w:color="auto"/>
              <w:bottom w:val="single" w:sz="4" w:space="0" w:color="auto"/>
            </w:tcBorders>
          </w:tcPr>
          <w:p w14:paraId="30A44F7A"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14%</m:t>
                </m:r>
              </m:oMath>
            </m:oMathPara>
          </w:p>
        </w:tc>
      </w:tr>
      <w:tr w:rsidR="003C2719" w:rsidRPr="00E52C57" w14:paraId="7687DEBA" w14:textId="77777777" w:rsidTr="001C1799">
        <w:trPr>
          <w:trHeight w:val="281"/>
        </w:trPr>
        <w:tc>
          <w:tcPr>
            <w:tcW w:w="5333" w:type="dxa"/>
            <w:gridSpan w:val="2"/>
            <w:tcBorders>
              <w:top w:val="single" w:sz="4" w:space="0" w:color="auto"/>
              <w:bottom w:val="single" w:sz="4" w:space="0" w:color="auto"/>
            </w:tcBorders>
          </w:tcPr>
          <w:p w14:paraId="006809C0" w14:textId="77777777" w:rsidR="003C2719" w:rsidRPr="00E52C57" w:rsidRDefault="003C2719" w:rsidP="001C1799">
            <w:pPr>
              <w:jc w:val="center"/>
              <w:rPr>
                <w:rFonts w:ascii="Garamond" w:hAnsi="Garamond"/>
                <w:sz w:val="24"/>
                <w:szCs w:val="24"/>
              </w:rPr>
            </w:pPr>
            <w:r w:rsidRPr="00E52C57">
              <w:rPr>
                <w:rFonts w:ascii="Garamond" w:hAnsi="Garamond"/>
                <w:sz w:val="24"/>
                <w:szCs w:val="24"/>
              </w:rPr>
              <w:t>Total</w:t>
            </w:r>
          </w:p>
        </w:tc>
        <w:tc>
          <w:tcPr>
            <w:tcW w:w="1695" w:type="dxa"/>
            <w:tcBorders>
              <w:top w:val="single" w:sz="4" w:space="0" w:color="auto"/>
              <w:bottom w:val="single" w:sz="4" w:space="0" w:color="auto"/>
            </w:tcBorders>
          </w:tcPr>
          <w:p w14:paraId="324AB17D"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100%</m:t>
                </m:r>
              </m:oMath>
            </m:oMathPara>
          </w:p>
        </w:tc>
      </w:tr>
    </w:tbl>
    <w:p w14:paraId="55787763" w14:textId="77777777" w:rsidR="003C2719" w:rsidRPr="00E52C57" w:rsidRDefault="003C2719" w:rsidP="003C2719">
      <w:pPr>
        <w:spacing w:after="0" w:line="360" w:lineRule="auto"/>
        <w:ind w:firstLine="720"/>
        <w:jc w:val="both"/>
        <w:rPr>
          <w:rFonts w:ascii="Garamond" w:hAnsi="Garamond"/>
          <w:sz w:val="24"/>
          <w:szCs w:val="24"/>
        </w:rPr>
      </w:pPr>
    </w:p>
    <w:p w14:paraId="0988E783" w14:textId="77777777" w:rsidR="003C2719" w:rsidRPr="00E52C57" w:rsidRDefault="003C2719" w:rsidP="003C2719">
      <w:pPr>
        <w:pStyle w:val="ListParagraph"/>
        <w:spacing w:line="360" w:lineRule="auto"/>
        <w:ind w:left="0" w:firstLine="709"/>
        <w:jc w:val="both"/>
        <w:rPr>
          <w:rFonts w:ascii="Garamond" w:hAnsi="Garamond"/>
          <w:sz w:val="24"/>
          <w:szCs w:val="24"/>
        </w:rPr>
      </w:pPr>
      <w:r w:rsidRPr="00E52C57">
        <w:rPr>
          <w:rFonts w:ascii="Garamond" w:hAnsi="Garamond"/>
          <w:sz w:val="24"/>
          <w:szCs w:val="24"/>
        </w:rPr>
        <w:t xml:space="preserve">Based on the interview results with the Vice Principal for Curriculum, the implementation of learning in the classroom is centered on the needs of the students and the teachers play a more facilitator role by providing opportunities for students to learn independently and take responsibility for their learning process. In the implementation of learning, P5 (Project for Strengthening the Pancasila Student Profile) and </w:t>
      </w:r>
      <w:r w:rsidRPr="00E52C57">
        <w:rPr>
          <w:rFonts w:ascii="Garamond" w:hAnsi="Garamond"/>
          <w:i/>
          <w:iCs/>
          <w:sz w:val="24"/>
          <w:szCs w:val="24"/>
        </w:rPr>
        <w:t>Rahmatan Lil Alamin</w:t>
      </w:r>
      <w:r w:rsidRPr="00E52C57">
        <w:rPr>
          <w:rFonts w:ascii="Garamond" w:hAnsi="Garamond"/>
          <w:sz w:val="24"/>
          <w:szCs w:val="24"/>
        </w:rPr>
        <w:t xml:space="preserve"> Student Profile (PRA) have also been prepared by choosing a theme to be completed in one year. This was also conveyed by the math teacher that they will carry out collaboration with other teachers in P5 and PRA.</w:t>
      </w:r>
    </w:p>
    <w:p w14:paraId="1BF6F8B4" w14:textId="5C2891BB" w:rsidR="003C2719" w:rsidRPr="00E52C57" w:rsidRDefault="003C2719" w:rsidP="003C2719">
      <w:pPr>
        <w:pStyle w:val="ListParagraph"/>
        <w:spacing w:line="360" w:lineRule="auto"/>
        <w:ind w:left="0" w:firstLine="709"/>
        <w:jc w:val="both"/>
        <w:rPr>
          <w:rFonts w:ascii="Garamond" w:hAnsi="Garamond"/>
          <w:sz w:val="24"/>
          <w:szCs w:val="24"/>
          <w:lang w:val="en-ID"/>
        </w:rPr>
      </w:pPr>
      <w:r w:rsidRPr="00E52C57">
        <w:rPr>
          <w:rFonts w:ascii="Garamond" w:hAnsi="Garamond"/>
          <w:sz w:val="24"/>
          <w:szCs w:val="24"/>
        </w:rPr>
        <w:t xml:space="preserve">Based on the results of this study, it can be concluded that in the learning process, the teachers at MTsN 1 Bone implement in accordance with the requirements of the Independent Learning Curriculum by playing a more facilitator role and providing projects that are in line with the needs of Pancasila students and </w:t>
      </w:r>
      <w:r w:rsidRPr="00E52C57">
        <w:rPr>
          <w:rFonts w:ascii="Garamond" w:hAnsi="Garamond"/>
          <w:i/>
          <w:iCs/>
          <w:sz w:val="24"/>
          <w:szCs w:val="24"/>
        </w:rPr>
        <w:t xml:space="preserve">rahmatan lil alamin </w:t>
      </w:r>
      <w:r w:rsidRPr="00E52C57">
        <w:rPr>
          <w:rFonts w:ascii="Garamond" w:hAnsi="Garamond"/>
          <w:sz w:val="24"/>
          <w:szCs w:val="24"/>
        </w:rPr>
        <w:t>students.</w:t>
      </w:r>
    </w:p>
    <w:p w14:paraId="6CAFDEA4" w14:textId="77777777" w:rsidR="003C2719" w:rsidRPr="00E52C57" w:rsidRDefault="003C2719" w:rsidP="003C2719">
      <w:pPr>
        <w:pStyle w:val="ListParagraph"/>
        <w:spacing w:after="0" w:line="360" w:lineRule="auto"/>
        <w:ind w:left="0"/>
        <w:jc w:val="both"/>
        <w:rPr>
          <w:rFonts w:ascii="Garamond" w:hAnsi="Garamond"/>
          <w:b/>
          <w:bCs/>
          <w:i/>
          <w:iCs/>
          <w:sz w:val="24"/>
          <w:szCs w:val="24"/>
        </w:rPr>
      </w:pPr>
      <w:r w:rsidRPr="00E52C57">
        <w:rPr>
          <w:rFonts w:ascii="Garamond" w:hAnsi="Garamond"/>
          <w:b/>
          <w:bCs/>
          <w:i/>
          <w:iCs/>
          <w:sz w:val="24"/>
          <w:szCs w:val="24"/>
        </w:rPr>
        <w:lastRenderedPageBreak/>
        <w:t>Learning Assessment</w:t>
      </w:r>
    </w:p>
    <w:p w14:paraId="31FD1DD5" w14:textId="77777777" w:rsidR="003C2719" w:rsidRPr="00E52C57" w:rsidRDefault="003C2719" w:rsidP="003C2719">
      <w:pPr>
        <w:pStyle w:val="ListParagraph"/>
        <w:spacing w:after="0" w:line="360" w:lineRule="auto"/>
        <w:ind w:left="0" w:firstLine="709"/>
        <w:jc w:val="both"/>
        <w:rPr>
          <w:rFonts w:ascii="Garamond" w:hAnsi="Garamond"/>
          <w:sz w:val="24"/>
          <w:szCs w:val="24"/>
        </w:rPr>
      </w:pPr>
      <w:r w:rsidRPr="00E52C57">
        <w:rPr>
          <w:rFonts w:ascii="Garamond" w:hAnsi="Garamond"/>
          <w:sz w:val="24"/>
          <w:szCs w:val="24"/>
        </w:rPr>
        <w:t>The results of the questionnaire with the learning assessment indicators show that 5% are in the "less ready" category, 69% are in the "ready" category, and 26% are in the "highly ready" category, as shown in the following table.</w:t>
      </w:r>
    </w:p>
    <w:p w14:paraId="566E4FB7" w14:textId="77777777" w:rsidR="003C2719" w:rsidRPr="00E52C57" w:rsidRDefault="003C2719" w:rsidP="003C2719">
      <w:pPr>
        <w:spacing w:after="0" w:line="240" w:lineRule="auto"/>
        <w:jc w:val="center"/>
        <w:rPr>
          <w:rFonts w:ascii="Garamond" w:hAnsi="Garamond"/>
          <w:sz w:val="24"/>
          <w:szCs w:val="24"/>
        </w:rPr>
      </w:pPr>
      <w:r w:rsidRPr="00E52C57">
        <w:rPr>
          <w:rFonts w:ascii="Garamond" w:hAnsi="Garamond"/>
          <w:b/>
          <w:bCs/>
          <w:sz w:val="24"/>
          <w:szCs w:val="24"/>
        </w:rPr>
        <w:t>Table 12.</w:t>
      </w:r>
      <w:r w:rsidRPr="00E52C57">
        <w:rPr>
          <w:rFonts w:ascii="Garamond" w:hAnsi="Garamond"/>
          <w:sz w:val="24"/>
          <w:szCs w:val="24"/>
        </w:rPr>
        <w:t xml:space="preserve"> The Results of the Madrasah Readiness Survey in Implementing the Independent Learning Curriculum at MTsN 1 Bone with Learning Assessment Indicator</w:t>
      </w:r>
    </w:p>
    <w:tbl>
      <w:tblPr>
        <w:tblStyle w:val="TableGrid"/>
        <w:tblW w:w="7019"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19"/>
        <w:gridCol w:w="3807"/>
        <w:gridCol w:w="1693"/>
      </w:tblGrid>
      <w:tr w:rsidR="003C2719" w:rsidRPr="00E52C57" w14:paraId="396B85CC" w14:textId="77777777" w:rsidTr="001C1799">
        <w:trPr>
          <w:trHeight w:val="295"/>
        </w:trPr>
        <w:tc>
          <w:tcPr>
            <w:tcW w:w="1519" w:type="dxa"/>
            <w:tcBorders>
              <w:top w:val="single" w:sz="4" w:space="0" w:color="auto"/>
              <w:bottom w:val="single" w:sz="4" w:space="0" w:color="auto"/>
            </w:tcBorders>
          </w:tcPr>
          <w:p w14:paraId="60F5096D"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Criteria</w:t>
            </w:r>
          </w:p>
        </w:tc>
        <w:tc>
          <w:tcPr>
            <w:tcW w:w="3807" w:type="dxa"/>
            <w:tcBorders>
              <w:top w:val="single" w:sz="4" w:space="0" w:color="auto"/>
              <w:bottom w:val="single" w:sz="4" w:space="0" w:color="auto"/>
            </w:tcBorders>
          </w:tcPr>
          <w:p w14:paraId="337794A8"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Score</w:t>
            </w:r>
          </w:p>
        </w:tc>
        <w:tc>
          <w:tcPr>
            <w:tcW w:w="1693" w:type="dxa"/>
            <w:tcBorders>
              <w:top w:val="single" w:sz="4" w:space="0" w:color="auto"/>
              <w:bottom w:val="single" w:sz="4" w:space="0" w:color="auto"/>
            </w:tcBorders>
          </w:tcPr>
          <w:p w14:paraId="0D8EC6C1"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Percentage</w:t>
            </w:r>
          </w:p>
        </w:tc>
      </w:tr>
      <w:tr w:rsidR="003C2719" w:rsidRPr="00E52C57" w14:paraId="3C260979" w14:textId="77777777" w:rsidTr="001C1799">
        <w:trPr>
          <w:trHeight w:val="295"/>
        </w:trPr>
        <w:tc>
          <w:tcPr>
            <w:tcW w:w="1519" w:type="dxa"/>
            <w:tcBorders>
              <w:top w:val="single" w:sz="4" w:space="0" w:color="auto"/>
              <w:bottom w:val="single" w:sz="4" w:space="0" w:color="auto"/>
            </w:tcBorders>
          </w:tcPr>
          <w:p w14:paraId="6CF8B8FA" w14:textId="77777777" w:rsidR="003C2719" w:rsidRPr="00E52C57" w:rsidRDefault="003C2719" w:rsidP="001C1799">
            <w:pPr>
              <w:jc w:val="center"/>
              <w:rPr>
                <w:rFonts w:ascii="Garamond" w:hAnsi="Garamond"/>
                <w:sz w:val="24"/>
                <w:szCs w:val="24"/>
              </w:rPr>
            </w:pPr>
            <w:r w:rsidRPr="00E52C57">
              <w:rPr>
                <w:rFonts w:ascii="Garamond" w:hAnsi="Garamond"/>
                <w:sz w:val="24"/>
                <w:szCs w:val="24"/>
              </w:rPr>
              <w:t>Not Ready</w:t>
            </w:r>
          </w:p>
        </w:tc>
        <w:tc>
          <w:tcPr>
            <w:tcW w:w="3807" w:type="dxa"/>
            <w:tcBorders>
              <w:top w:val="single" w:sz="4" w:space="0" w:color="auto"/>
              <w:bottom w:val="single" w:sz="4" w:space="0" w:color="auto"/>
            </w:tcBorders>
          </w:tcPr>
          <w:p w14:paraId="1CDD2ECE"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 ≤25</m:t>
                </m:r>
              </m:oMath>
            </m:oMathPara>
          </w:p>
        </w:tc>
        <w:tc>
          <w:tcPr>
            <w:tcW w:w="1693" w:type="dxa"/>
            <w:tcBorders>
              <w:top w:val="single" w:sz="4" w:space="0" w:color="auto"/>
              <w:bottom w:val="single" w:sz="4" w:space="0" w:color="auto"/>
            </w:tcBorders>
          </w:tcPr>
          <w:p w14:paraId="6C596289"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0%</m:t>
                </m:r>
              </m:oMath>
            </m:oMathPara>
          </w:p>
        </w:tc>
      </w:tr>
      <w:tr w:rsidR="003C2719" w:rsidRPr="00E52C57" w14:paraId="2F4E2053" w14:textId="77777777" w:rsidTr="001C1799">
        <w:trPr>
          <w:trHeight w:val="308"/>
        </w:trPr>
        <w:tc>
          <w:tcPr>
            <w:tcW w:w="1519" w:type="dxa"/>
            <w:tcBorders>
              <w:top w:val="single" w:sz="4" w:space="0" w:color="auto"/>
              <w:bottom w:val="single" w:sz="4" w:space="0" w:color="auto"/>
            </w:tcBorders>
          </w:tcPr>
          <w:p w14:paraId="1A46296C" w14:textId="77777777" w:rsidR="003C2719" w:rsidRPr="00E52C57" w:rsidRDefault="003C2719" w:rsidP="001C1799">
            <w:pPr>
              <w:jc w:val="center"/>
              <w:rPr>
                <w:rFonts w:ascii="Garamond" w:hAnsi="Garamond"/>
                <w:sz w:val="24"/>
                <w:szCs w:val="24"/>
              </w:rPr>
            </w:pPr>
            <w:r w:rsidRPr="00E52C57">
              <w:rPr>
                <w:rFonts w:ascii="Garamond" w:hAnsi="Garamond"/>
                <w:sz w:val="24"/>
                <w:szCs w:val="24"/>
              </w:rPr>
              <w:t>Less Ready</w:t>
            </w:r>
          </w:p>
        </w:tc>
        <w:tc>
          <w:tcPr>
            <w:tcW w:w="3807" w:type="dxa"/>
            <w:tcBorders>
              <w:top w:val="single" w:sz="4" w:space="0" w:color="auto"/>
              <w:bottom w:val="single" w:sz="4" w:space="0" w:color="auto"/>
            </w:tcBorders>
          </w:tcPr>
          <w:p w14:paraId="10AFCC22"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25&lt;x ≤50</m:t>
                </m:r>
              </m:oMath>
            </m:oMathPara>
          </w:p>
        </w:tc>
        <w:tc>
          <w:tcPr>
            <w:tcW w:w="1693" w:type="dxa"/>
            <w:tcBorders>
              <w:top w:val="single" w:sz="4" w:space="0" w:color="auto"/>
              <w:bottom w:val="single" w:sz="4" w:space="0" w:color="auto"/>
            </w:tcBorders>
          </w:tcPr>
          <w:p w14:paraId="4336FB29"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m:t>
                </m:r>
              </m:oMath>
            </m:oMathPara>
          </w:p>
        </w:tc>
      </w:tr>
      <w:tr w:rsidR="003C2719" w:rsidRPr="00E52C57" w14:paraId="4697B222" w14:textId="77777777" w:rsidTr="001C1799">
        <w:trPr>
          <w:trHeight w:val="295"/>
        </w:trPr>
        <w:tc>
          <w:tcPr>
            <w:tcW w:w="1519" w:type="dxa"/>
            <w:tcBorders>
              <w:top w:val="single" w:sz="4" w:space="0" w:color="auto"/>
              <w:bottom w:val="single" w:sz="4" w:space="0" w:color="auto"/>
            </w:tcBorders>
          </w:tcPr>
          <w:p w14:paraId="633ACE1E" w14:textId="77777777" w:rsidR="003C2719" w:rsidRPr="00E52C57" w:rsidRDefault="003C2719" w:rsidP="001C1799">
            <w:pPr>
              <w:jc w:val="center"/>
              <w:rPr>
                <w:rFonts w:ascii="Garamond" w:hAnsi="Garamond"/>
                <w:sz w:val="24"/>
                <w:szCs w:val="24"/>
              </w:rPr>
            </w:pPr>
            <w:r w:rsidRPr="00E52C57">
              <w:rPr>
                <w:rFonts w:ascii="Garamond" w:hAnsi="Garamond"/>
                <w:sz w:val="24"/>
                <w:szCs w:val="24"/>
              </w:rPr>
              <w:t>Ready</w:t>
            </w:r>
          </w:p>
        </w:tc>
        <w:tc>
          <w:tcPr>
            <w:tcW w:w="3807" w:type="dxa"/>
            <w:tcBorders>
              <w:top w:val="single" w:sz="4" w:space="0" w:color="auto"/>
              <w:bottom w:val="single" w:sz="4" w:space="0" w:color="auto"/>
            </w:tcBorders>
          </w:tcPr>
          <w:p w14:paraId="6202370E"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50&lt;x ≤75</m:t>
                </m:r>
              </m:oMath>
            </m:oMathPara>
          </w:p>
        </w:tc>
        <w:tc>
          <w:tcPr>
            <w:tcW w:w="1693" w:type="dxa"/>
            <w:tcBorders>
              <w:top w:val="single" w:sz="4" w:space="0" w:color="auto"/>
              <w:bottom w:val="single" w:sz="4" w:space="0" w:color="auto"/>
            </w:tcBorders>
          </w:tcPr>
          <w:p w14:paraId="0A06EBFB"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69%</m:t>
                </m:r>
              </m:oMath>
            </m:oMathPara>
          </w:p>
        </w:tc>
      </w:tr>
      <w:tr w:rsidR="003C2719" w:rsidRPr="00E52C57" w14:paraId="463379D9" w14:textId="77777777" w:rsidTr="001C1799">
        <w:trPr>
          <w:trHeight w:val="295"/>
        </w:trPr>
        <w:tc>
          <w:tcPr>
            <w:tcW w:w="1519" w:type="dxa"/>
            <w:tcBorders>
              <w:top w:val="single" w:sz="4" w:space="0" w:color="auto"/>
              <w:bottom w:val="single" w:sz="4" w:space="0" w:color="auto"/>
            </w:tcBorders>
          </w:tcPr>
          <w:p w14:paraId="449993CC" w14:textId="77777777" w:rsidR="003C2719" w:rsidRPr="00E52C57" w:rsidRDefault="003C2719" w:rsidP="001C1799">
            <w:pPr>
              <w:jc w:val="center"/>
              <w:rPr>
                <w:rFonts w:ascii="Garamond" w:hAnsi="Garamond"/>
                <w:sz w:val="24"/>
                <w:szCs w:val="24"/>
              </w:rPr>
            </w:pPr>
            <w:r w:rsidRPr="00E52C57">
              <w:rPr>
                <w:rFonts w:ascii="Garamond" w:hAnsi="Garamond"/>
                <w:sz w:val="24"/>
                <w:szCs w:val="24"/>
              </w:rPr>
              <w:t>Highly Ready</w:t>
            </w:r>
          </w:p>
        </w:tc>
        <w:tc>
          <w:tcPr>
            <w:tcW w:w="3807" w:type="dxa"/>
            <w:tcBorders>
              <w:top w:val="single" w:sz="4" w:space="0" w:color="auto"/>
              <w:bottom w:val="single" w:sz="4" w:space="0" w:color="auto"/>
            </w:tcBorders>
          </w:tcPr>
          <w:p w14:paraId="52C7E3F5"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x&gt;75</m:t>
                </m:r>
              </m:oMath>
            </m:oMathPara>
          </w:p>
        </w:tc>
        <w:tc>
          <w:tcPr>
            <w:tcW w:w="1693" w:type="dxa"/>
            <w:tcBorders>
              <w:top w:val="single" w:sz="4" w:space="0" w:color="auto"/>
              <w:bottom w:val="single" w:sz="4" w:space="0" w:color="auto"/>
            </w:tcBorders>
          </w:tcPr>
          <w:p w14:paraId="59810897"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26%</m:t>
                </m:r>
              </m:oMath>
            </m:oMathPara>
          </w:p>
        </w:tc>
      </w:tr>
      <w:tr w:rsidR="003C2719" w:rsidRPr="00E52C57" w14:paraId="061C07BC" w14:textId="77777777" w:rsidTr="001C1799">
        <w:trPr>
          <w:trHeight w:val="295"/>
        </w:trPr>
        <w:tc>
          <w:tcPr>
            <w:tcW w:w="5326" w:type="dxa"/>
            <w:gridSpan w:val="2"/>
            <w:tcBorders>
              <w:top w:val="single" w:sz="4" w:space="0" w:color="auto"/>
              <w:bottom w:val="single" w:sz="4" w:space="0" w:color="auto"/>
            </w:tcBorders>
          </w:tcPr>
          <w:p w14:paraId="3FD65060" w14:textId="77777777" w:rsidR="003C2719" w:rsidRPr="00E52C57" w:rsidRDefault="003C2719" w:rsidP="001C1799">
            <w:pPr>
              <w:jc w:val="center"/>
              <w:rPr>
                <w:rFonts w:ascii="Garamond" w:hAnsi="Garamond"/>
                <w:sz w:val="24"/>
                <w:szCs w:val="24"/>
              </w:rPr>
            </w:pPr>
            <w:r w:rsidRPr="00E52C57">
              <w:rPr>
                <w:rFonts w:ascii="Garamond" w:hAnsi="Garamond"/>
                <w:sz w:val="24"/>
                <w:szCs w:val="24"/>
              </w:rPr>
              <w:t>Total</w:t>
            </w:r>
          </w:p>
        </w:tc>
        <w:tc>
          <w:tcPr>
            <w:tcW w:w="1693" w:type="dxa"/>
            <w:tcBorders>
              <w:top w:val="single" w:sz="4" w:space="0" w:color="auto"/>
              <w:bottom w:val="single" w:sz="4" w:space="0" w:color="auto"/>
            </w:tcBorders>
          </w:tcPr>
          <w:p w14:paraId="1BD644D9"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100%</m:t>
                </m:r>
              </m:oMath>
            </m:oMathPara>
          </w:p>
        </w:tc>
      </w:tr>
    </w:tbl>
    <w:p w14:paraId="55697960" w14:textId="77777777" w:rsidR="002C58ED" w:rsidRDefault="002C58ED" w:rsidP="003C2719">
      <w:pPr>
        <w:pStyle w:val="ListParagraph"/>
        <w:spacing w:after="0" w:line="360" w:lineRule="auto"/>
        <w:ind w:left="0" w:firstLine="709"/>
        <w:jc w:val="both"/>
        <w:rPr>
          <w:rFonts w:ascii="Garamond" w:hAnsi="Garamond"/>
          <w:sz w:val="24"/>
          <w:szCs w:val="24"/>
        </w:rPr>
      </w:pPr>
    </w:p>
    <w:p w14:paraId="41D3CDE2" w14:textId="3E40C244" w:rsidR="003C2719" w:rsidRPr="00E52C57" w:rsidRDefault="003C2719" w:rsidP="003C2719">
      <w:pPr>
        <w:pStyle w:val="ListParagraph"/>
        <w:spacing w:after="0" w:line="360" w:lineRule="auto"/>
        <w:ind w:left="0" w:firstLine="709"/>
        <w:jc w:val="both"/>
        <w:rPr>
          <w:rFonts w:ascii="Garamond" w:hAnsi="Garamond"/>
          <w:sz w:val="24"/>
          <w:szCs w:val="24"/>
        </w:rPr>
      </w:pPr>
      <w:r w:rsidRPr="00E52C57">
        <w:rPr>
          <w:rFonts w:ascii="Garamond" w:hAnsi="Garamond"/>
          <w:sz w:val="24"/>
          <w:szCs w:val="24"/>
        </w:rPr>
        <w:t>Based on the results of an interview with the Vice Principal for Curriculum, it was found that assessment is carried out using several forms of assessment. Diagnostic assessment is conducted by looking at cognitive and non-cognitive aspects. Formative assessment is carried out in the form of project assignments and daily tasks. Summative assessment is also conducted in the form of midterm exams and final exams. The results of an interview with the handicraft teacher also stated the same, that the assessment system is carried out in a summative, formative, and summative manner, and also takes assessment in digital form using Google Forms, worksheets, and quizzes. Assessment is carried out throughout the semester. Based on the results of the above research, it can be concluded that learning assessment activities at MTsN 1 Bone are carried out in various forms of diagnostic, formative, and summative assessments.</w:t>
      </w:r>
    </w:p>
    <w:p w14:paraId="38419B4D" w14:textId="77777777" w:rsidR="002C58ED" w:rsidRDefault="002C58ED" w:rsidP="003C2719">
      <w:pPr>
        <w:spacing w:after="0" w:line="360" w:lineRule="auto"/>
        <w:jc w:val="both"/>
        <w:rPr>
          <w:rFonts w:ascii="Garamond" w:hAnsi="Garamond"/>
          <w:b/>
          <w:bCs/>
          <w:sz w:val="24"/>
          <w:szCs w:val="24"/>
        </w:rPr>
      </w:pPr>
    </w:p>
    <w:p w14:paraId="28951483" w14:textId="4A624D70" w:rsidR="003C2719" w:rsidRPr="00E52C57" w:rsidRDefault="003C2719" w:rsidP="003C2719">
      <w:pPr>
        <w:spacing w:after="0" w:line="360" w:lineRule="auto"/>
        <w:jc w:val="both"/>
        <w:rPr>
          <w:rFonts w:ascii="Garamond" w:hAnsi="Garamond"/>
          <w:b/>
          <w:bCs/>
          <w:sz w:val="24"/>
          <w:szCs w:val="24"/>
        </w:rPr>
      </w:pPr>
      <w:r w:rsidRPr="00E52C57">
        <w:rPr>
          <w:rFonts w:ascii="Garamond" w:hAnsi="Garamond"/>
          <w:b/>
          <w:bCs/>
          <w:sz w:val="24"/>
          <w:szCs w:val="24"/>
        </w:rPr>
        <w:t>The Readiness of Facilities and Infrastructure at MTsN 1 Bone in the Implementation of Independent Learning Curriculum</w:t>
      </w:r>
    </w:p>
    <w:p w14:paraId="7A40B5C3" w14:textId="77777777" w:rsidR="003C2719" w:rsidRPr="00E52C57" w:rsidRDefault="003C2719" w:rsidP="003C2719">
      <w:pPr>
        <w:spacing w:after="120" w:line="360" w:lineRule="auto"/>
        <w:ind w:firstLine="720"/>
        <w:jc w:val="both"/>
        <w:rPr>
          <w:rFonts w:ascii="Garamond" w:hAnsi="Garamond"/>
          <w:b/>
          <w:bCs/>
          <w:i/>
          <w:iCs/>
          <w:sz w:val="24"/>
          <w:szCs w:val="24"/>
        </w:rPr>
      </w:pPr>
      <w:r w:rsidRPr="00E52C57">
        <w:rPr>
          <w:rFonts w:ascii="Garamond" w:hAnsi="Garamond"/>
          <w:sz w:val="24"/>
          <w:szCs w:val="24"/>
        </w:rPr>
        <w:t>One of the most important and essential resources that support the educational process in schools/madrasah is educational facilities and infrastructure. The importance of facilities and infrastructure in madrasas not only affects the quality of education, but also the quality of life of educators, students, and madrasa staff. Therefore, the maintenance, development, and improvement of facilities and infrastructure in madrasas need to be a priority for the madrasa and government to create a better educational environment.</w:t>
      </w:r>
    </w:p>
    <w:p w14:paraId="1F89E151" w14:textId="77777777" w:rsidR="003C2719" w:rsidRPr="00E52C57" w:rsidRDefault="003C2719" w:rsidP="003C2719">
      <w:pPr>
        <w:pStyle w:val="ListParagraph"/>
        <w:spacing w:after="0" w:line="360" w:lineRule="auto"/>
        <w:ind w:left="0"/>
        <w:jc w:val="both"/>
        <w:rPr>
          <w:rFonts w:ascii="Garamond" w:hAnsi="Garamond"/>
          <w:b/>
          <w:bCs/>
          <w:i/>
          <w:iCs/>
          <w:sz w:val="24"/>
          <w:szCs w:val="24"/>
        </w:rPr>
      </w:pPr>
      <w:r w:rsidRPr="00E52C57">
        <w:rPr>
          <w:rFonts w:ascii="Garamond" w:hAnsi="Garamond"/>
          <w:b/>
          <w:bCs/>
          <w:i/>
          <w:iCs/>
          <w:sz w:val="24"/>
          <w:szCs w:val="24"/>
        </w:rPr>
        <w:t>Capacity and Accommodation</w:t>
      </w:r>
    </w:p>
    <w:p w14:paraId="0795B46D" w14:textId="77777777" w:rsidR="003C2719" w:rsidRPr="00E52C57" w:rsidRDefault="003C2719" w:rsidP="003C2719">
      <w:pPr>
        <w:pStyle w:val="ListParagraph"/>
        <w:spacing w:after="0" w:line="360" w:lineRule="auto"/>
        <w:ind w:left="0" w:firstLine="709"/>
        <w:jc w:val="both"/>
        <w:rPr>
          <w:rFonts w:ascii="Garamond" w:hAnsi="Garamond"/>
          <w:sz w:val="24"/>
          <w:szCs w:val="24"/>
        </w:rPr>
      </w:pPr>
      <w:r w:rsidRPr="00E52C57">
        <w:rPr>
          <w:rFonts w:ascii="Garamond" w:hAnsi="Garamond"/>
          <w:sz w:val="24"/>
          <w:szCs w:val="24"/>
        </w:rPr>
        <w:t xml:space="preserve">Based on the results of the questionnaire on the readiness of infrastructure facilities at MTsN 1 Bone with indicators of capacity and accommodation, it shows that 9% are in “less </w:t>
      </w:r>
      <w:r w:rsidRPr="00E52C57">
        <w:rPr>
          <w:rFonts w:ascii="Garamond" w:hAnsi="Garamond"/>
          <w:sz w:val="24"/>
          <w:szCs w:val="24"/>
        </w:rPr>
        <w:lastRenderedPageBreak/>
        <w:t>ready” category 83% in “ready” category and 8% in “highly ready” category as shown in the following table.</w:t>
      </w:r>
    </w:p>
    <w:p w14:paraId="15375E77" w14:textId="77777777" w:rsidR="003C2719" w:rsidRPr="00E52C57" w:rsidRDefault="003C2719" w:rsidP="003C2719">
      <w:pPr>
        <w:spacing w:after="0" w:line="240" w:lineRule="auto"/>
        <w:jc w:val="center"/>
        <w:rPr>
          <w:rFonts w:ascii="Garamond" w:hAnsi="Garamond"/>
          <w:sz w:val="24"/>
          <w:szCs w:val="24"/>
        </w:rPr>
      </w:pPr>
      <w:r w:rsidRPr="00E52C57">
        <w:rPr>
          <w:rFonts w:ascii="Garamond" w:hAnsi="Garamond"/>
          <w:b/>
          <w:bCs/>
          <w:sz w:val="24"/>
          <w:szCs w:val="24"/>
        </w:rPr>
        <w:t>Table 13.</w:t>
      </w:r>
      <w:r w:rsidRPr="00E52C57">
        <w:rPr>
          <w:rFonts w:ascii="Garamond" w:hAnsi="Garamond"/>
          <w:sz w:val="24"/>
          <w:szCs w:val="24"/>
        </w:rPr>
        <w:t xml:space="preserve"> Results of Madrasah Readiness Questionnaire in Implementing Independent Learning Curriculum at MTsN 1 Bone with Capacity and Accommodation Indicator</w:t>
      </w:r>
    </w:p>
    <w:tbl>
      <w:tblPr>
        <w:tblStyle w:val="TableGrid"/>
        <w:tblW w:w="6970" w:type="dxa"/>
        <w:tblInd w:w="9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08"/>
        <w:gridCol w:w="3781"/>
        <w:gridCol w:w="1681"/>
      </w:tblGrid>
      <w:tr w:rsidR="003C2719" w:rsidRPr="00E52C57" w14:paraId="26D2F342" w14:textId="77777777" w:rsidTr="001C1799">
        <w:trPr>
          <w:trHeight w:val="295"/>
        </w:trPr>
        <w:tc>
          <w:tcPr>
            <w:tcW w:w="1508" w:type="dxa"/>
            <w:tcBorders>
              <w:top w:val="single" w:sz="4" w:space="0" w:color="auto"/>
              <w:bottom w:val="single" w:sz="4" w:space="0" w:color="auto"/>
            </w:tcBorders>
          </w:tcPr>
          <w:p w14:paraId="082FBCCC"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Criteria</w:t>
            </w:r>
          </w:p>
        </w:tc>
        <w:tc>
          <w:tcPr>
            <w:tcW w:w="3781" w:type="dxa"/>
            <w:tcBorders>
              <w:top w:val="single" w:sz="4" w:space="0" w:color="auto"/>
              <w:bottom w:val="single" w:sz="4" w:space="0" w:color="auto"/>
            </w:tcBorders>
          </w:tcPr>
          <w:p w14:paraId="2A6A8F1D"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Score</w:t>
            </w:r>
          </w:p>
        </w:tc>
        <w:tc>
          <w:tcPr>
            <w:tcW w:w="1681" w:type="dxa"/>
            <w:tcBorders>
              <w:top w:val="single" w:sz="4" w:space="0" w:color="auto"/>
              <w:bottom w:val="single" w:sz="4" w:space="0" w:color="auto"/>
            </w:tcBorders>
          </w:tcPr>
          <w:p w14:paraId="55011D6E"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Percentage</w:t>
            </w:r>
          </w:p>
        </w:tc>
      </w:tr>
      <w:tr w:rsidR="003C2719" w:rsidRPr="00E52C57" w14:paraId="33C65ACC" w14:textId="77777777" w:rsidTr="001C1799">
        <w:trPr>
          <w:trHeight w:val="295"/>
        </w:trPr>
        <w:tc>
          <w:tcPr>
            <w:tcW w:w="1508" w:type="dxa"/>
            <w:tcBorders>
              <w:top w:val="single" w:sz="4" w:space="0" w:color="auto"/>
              <w:bottom w:val="single" w:sz="4" w:space="0" w:color="auto"/>
            </w:tcBorders>
          </w:tcPr>
          <w:p w14:paraId="05CAECD8" w14:textId="77777777" w:rsidR="003C2719" w:rsidRPr="00E52C57" w:rsidRDefault="003C2719" w:rsidP="001C1799">
            <w:pPr>
              <w:jc w:val="center"/>
              <w:rPr>
                <w:rFonts w:ascii="Garamond" w:hAnsi="Garamond"/>
                <w:sz w:val="24"/>
                <w:szCs w:val="24"/>
              </w:rPr>
            </w:pPr>
            <w:r w:rsidRPr="00E52C57">
              <w:rPr>
                <w:rFonts w:ascii="Garamond" w:hAnsi="Garamond"/>
                <w:sz w:val="24"/>
                <w:szCs w:val="24"/>
              </w:rPr>
              <w:t>Not Ready</w:t>
            </w:r>
          </w:p>
        </w:tc>
        <w:tc>
          <w:tcPr>
            <w:tcW w:w="3781" w:type="dxa"/>
            <w:tcBorders>
              <w:top w:val="single" w:sz="4" w:space="0" w:color="auto"/>
              <w:bottom w:val="single" w:sz="4" w:space="0" w:color="auto"/>
            </w:tcBorders>
          </w:tcPr>
          <w:p w14:paraId="54ECC0FB"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 ≤25</m:t>
                </m:r>
              </m:oMath>
            </m:oMathPara>
          </w:p>
        </w:tc>
        <w:tc>
          <w:tcPr>
            <w:tcW w:w="1681" w:type="dxa"/>
            <w:tcBorders>
              <w:top w:val="single" w:sz="4" w:space="0" w:color="auto"/>
              <w:bottom w:val="single" w:sz="4" w:space="0" w:color="auto"/>
            </w:tcBorders>
          </w:tcPr>
          <w:p w14:paraId="19B444F6"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0%</m:t>
                </m:r>
              </m:oMath>
            </m:oMathPara>
          </w:p>
        </w:tc>
      </w:tr>
      <w:tr w:rsidR="003C2719" w:rsidRPr="00E52C57" w14:paraId="07FBEA29" w14:textId="77777777" w:rsidTr="001C1799">
        <w:trPr>
          <w:trHeight w:val="308"/>
        </w:trPr>
        <w:tc>
          <w:tcPr>
            <w:tcW w:w="1508" w:type="dxa"/>
            <w:tcBorders>
              <w:top w:val="single" w:sz="4" w:space="0" w:color="auto"/>
              <w:bottom w:val="single" w:sz="4" w:space="0" w:color="auto"/>
            </w:tcBorders>
          </w:tcPr>
          <w:p w14:paraId="5B961E3F" w14:textId="77777777" w:rsidR="003C2719" w:rsidRPr="00E52C57" w:rsidRDefault="003C2719" w:rsidP="001C1799">
            <w:pPr>
              <w:jc w:val="center"/>
              <w:rPr>
                <w:rFonts w:ascii="Garamond" w:hAnsi="Garamond"/>
                <w:sz w:val="24"/>
                <w:szCs w:val="24"/>
              </w:rPr>
            </w:pPr>
            <w:r w:rsidRPr="00E52C57">
              <w:rPr>
                <w:rFonts w:ascii="Garamond" w:hAnsi="Garamond"/>
                <w:sz w:val="24"/>
                <w:szCs w:val="24"/>
              </w:rPr>
              <w:t>Less Ready</w:t>
            </w:r>
          </w:p>
        </w:tc>
        <w:tc>
          <w:tcPr>
            <w:tcW w:w="3781" w:type="dxa"/>
            <w:tcBorders>
              <w:top w:val="single" w:sz="4" w:space="0" w:color="auto"/>
              <w:bottom w:val="single" w:sz="4" w:space="0" w:color="auto"/>
            </w:tcBorders>
          </w:tcPr>
          <w:p w14:paraId="2913446F"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25&lt;x ≤50</m:t>
                </m:r>
              </m:oMath>
            </m:oMathPara>
          </w:p>
        </w:tc>
        <w:tc>
          <w:tcPr>
            <w:tcW w:w="1681" w:type="dxa"/>
            <w:tcBorders>
              <w:top w:val="single" w:sz="4" w:space="0" w:color="auto"/>
              <w:bottom w:val="single" w:sz="4" w:space="0" w:color="auto"/>
            </w:tcBorders>
          </w:tcPr>
          <w:p w14:paraId="63351F3A"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9%</m:t>
                </m:r>
              </m:oMath>
            </m:oMathPara>
          </w:p>
        </w:tc>
      </w:tr>
      <w:tr w:rsidR="003C2719" w:rsidRPr="00E52C57" w14:paraId="413D5308" w14:textId="77777777" w:rsidTr="001C1799">
        <w:trPr>
          <w:trHeight w:val="295"/>
        </w:trPr>
        <w:tc>
          <w:tcPr>
            <w:tcW w:w="1508" w:type="dxa"/>
            <w:tcBorders>
              <w:top w:val="single" w:sz="4" w:space="0" w:color="auto"/>
              <w:bottom w:val="single" w:sz="4" w:space="0" w:color="auto"/>
            </w:tcBorders>
          </w:tcPr>
          <w:p w14:paraId="6652E48F" w14:textId="77777777" w:rsidR="003C2719" w:rsidRPr="00E52C57" w:rsidRDefault="003C2719" w:rsidP="001C1799">
            <w:pPr>
              <w:jc w:val="center"/>
              <w:rPr>
                <w:rFonts w:ascii="Garamond" w:hAnsi="Garamond"/>
                <w:sz w:val="24"/>
                <w:szCs w:val="24"/>
              </w:rPr>
            </w:pPr>
            <w:r w:rsidRPr="00E52C57">
              <w:rPr>
                <w:rFonts w:ascii="Garamond" w:hAnsi="Garamond"/>
                <w:sz w:val="24"/>
                <w:szCs w:val="24"/>
              </w:rPr>
              <w:t>Ready</w:t>
            </w:r>
          </w:p>
        </w:tc>
        <w:tc>
          <w:tcPr>
            <w:tcW w:w="3781" w:type="dxa"/>
            <w:tcBorders>
              <w:top w:val="single" w:sz="4" w:space="0" w:color="auto"/>
              <w:bottom w:val="single" w:sz="4" w:space="0" w:color="auto"/>
            </w:tcBorders>
          </w:tcPr>
          <w:p w14:paraId="15172E99"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50&lt;x ≤75</m:t>
                </m:r>
              </m:oMath>
            </m:oMathPara>
          </w:p>
        </w:tc>
        <w:tc>
          <w:tcPr>
            <w:tcW w:w="1681" w:type="dxa"/>
            <w:tcBorders>
              <w:top w:val="single" w:sz="4" w:space="0" w:color="auto"/>
              <w:bottom w:val="single" w:sz="4" w:space="0" w:color="auto"/>
            </w:tcBorders>
          </w:tcPr>
          <w:p w14:paraId="35636598"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83%</m:t>
                </m:r>
              </m:oMath>
            </m:oMathPara>
          </w:p>
        </w:tc>
      </w:tr>
      <w:tr w:rsidR="003C2719" w:rsidRPr="00E52C57" w14:paraId="16F345D2" w14:textId="77777777" w:rsidTr="001C1799">
        <w:trPr>
          <w:trHeight w:val="295"/>
        </w:trPr>
        <w:tc>
          <w:tcPr>
            <w:tcW w:w="1508" w:type="dxa"/>
            <w:tcBorders>
              <w:top w:val="single" w:sz="4" w:space="0" w:color="auto"/>
              <w:bottom w:val="single" w:sz="4" w:space="0" w:color="auto"/>
            </w:tcBorders>
          </w:tcPr>
          <w:p w14:paraId="68A73970" w14:textId="77777777" w:rsidR="003C2719" w:rsidRPr="00E52C57" w:rsidRDefault="003C2719" w:rsidP="001C1799">
            <w:pPr>
              <w:jc w:val="center"/>
              <w:rPr>
                <w:rFonts w:ascii="Garamond" w:hAnsi="Garamond"/>
                <w:sz w:val="24"/>
                <w:szCs w:val="24"/>
              </w:rPr>
            </w:pPr>
            <w:r w:rsidRPr="00E52C57">
              <w:rPr>
                <w:rFonts w:ascii="Garamond" w:hAnsi="Garamond"/>
                <w:sz w:val="24"/>
                <w:szCs w:val="24"/>
              </w:rPr>
              <w:t>Highly Ready</w:t>
            </w:r>
          </w:p>
        </w:tc>
        <w:tc>
          <w:tcPr>
            <w:tcW w:w="3781" w:type="dxa"/>
            <w:tcBorders>
              <w:top w:val="single" w:sz="4" w:space="0" w:color="auto"/>
              <w:bottom w:val="single" w:sz="4" w:space="0" w:color="auto"/>
            </w:tcBorders>
          </w:tcPr>
          <w:p w14:paraId="72536E3A"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x&gt;75</m:t>
                </m:r>
              </m:oMath>
            </m:oMathPara>
          </w:p>
        </w:tc>
        <w:tc>
          <w:tcPr>
            <w:tcW w:w="1681" w:type="dxa"/>
            <w:tcBorders>
              <w:top w:val="single" w:sz="4" w:space="0" w:color="auto"/>
              <w:bottom w:val="single" w:sz="4" w:space="0" w:color="auto"/>
            </w:tcBorders>
          </w:tcPr>
          <w:p w14:paraId="05B8A088"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8%</m:t>
                </m:r>
              </m:oMath>
            </m:oMathPara>
          </w:p>
        </w:tc>
      </w:tr>
      <w:tr w:rsidR="003C2719" w:rsidRPr="00E52C57" w14:paraId="61E2A1D6" w14:textId="77777777" w:rsidTr="001C1799">
        <w:trPr>
          <w:trHeight w:val="295"/>
        </w:trPr>
        <w:tc>
          <w:tcPr>
            <w:tcW w:w="5289" w:type="dxa"/>
            <w:gridSpan w:val="2"/>
            <w:tcBorders>
              <w:top w:val="single" w:sz="4" w:space="0" w:color="auto"/>
              <w:bottom w:val="single" w:sz="4" w:space="0" w:color="auto"/>
            </w:tcBorders>
          </w:tcPr>
          <w:p w14:paraId="0DCA368D" w14:textId="77777777" w:rsidR="003C2719" w:rsidRPr="00E52C57" w:rsidRDefault="003C2719" w:rsidP="001C1799">
            <w:pPr>
              <w:jc w:val="center"/>
              <w:rPr>
                <w:rFonts w:ascii="Garamond" w:hAnsi="Garamond"/>
                <w:sz w:val="24"/>
                <w:szCs w:val="24"/>
              </w:rPr>
            </w:pPr>
            <w:r w:rsidRPr="00E52C57">
              <w:rPr>
                <w:rFonts w:ascii="Garamond" w:hAnsi="Garamond"/>
                <w:sz w:val="24"/>
                <w:szCs w:val="24"/>
              </w:rPr>
              <w:t>Total</w:t>
            </w:r>
          </w:p>
        </w:tc>
        <w:tc>
          <w:tcPr>
            <w:tcW w:w="1681" w:type="dxa"/>
            <w:tcBorders>
              <w:top w:val="single" w:sz="4" w:space="0" w:color="auto"/>
              <w:bottom w:val="single" w:sz="4" w:space="0" w:color="auto"/>
            </w:tcBorders>
          </w:tcPr>
          <w:p w14:paraId="219B679C"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100%</m:t>
                </m:r>
              </m:oMath>
            </m:oMathPara>
          </w:p>
        </w:tc>
      </w:tr>
    </w:tbl>
    <w:p w14:paraId="4E678A99" w14:textId="77777777" w:rsidR="003C2719" w:rsidRPr="00E52C57" w:rsidRDefault="003C2719" w:rsidP="003C2719">
      <w:pPr>
        <w:spacing w:after="0" w:line="360" w:lineRule="auto"/>
        <w:ind w:firstLine="720"/>
        <w:jc w:val="both"/>
        <w:rPr>
          <w:rFonts w:ascii="Garamond" w:hAnsi="Garamond"/>
          <w:sz w:val="24"/>
          <w:szCs w:val="24"/>
        </w:rPr>
      </w:pPr>
    </w:p>
    <w:p w14:paraId="753CF315" w14:textId="77777777" w:rsidR="003C2719" w:rsidRDefault="003C2719" w:rsidP="003C2719">
      <w:pPr>
        <w:spacing w:after="120" w:line="360" w:lineRule="auto"/>
        <w:ind w:firstLine="720"/>
        <w:jc w:val="both"/>
        <w:rPr>
          <w:rFonts w:ascii="Garamond" w:hAnsi="Garamond"/>
          <w:sz w:val="24"/>
          <w:szCs w:val="24"/>
        </w:rPr>
      </w:pPr>
      <w:r w:rsidRPr="00E52C57">
        <w:rPr>
          <w:rFonts w:ascii="Garamond" w:hAnsi="Garamond"/>
          <w:sz w:val="24"/>
          <w:szCs w:val="24"/>
        </w:rPr>
        <w:t>The results of interviews with the Vice Principal for Curriculum, Vice Principal for Facilities and Infrastructure and several teachers related to the capacity and capacity of facilities and infrastructure, especially in superior classes, are quite adequate. Some classes are also still in the process of renovation to be occupied soon.</w:t>
      </w:r>
    </w:p>
    <w:p w14:paraId="53101732" w14:textId="77777777" w:rsidR="002C58ED" w:rsidRDefault="002C58ED" w:rsidP="003C2719">
      <w:pPr>
        <w:pStyle w:val="ListParagraph"/>
        <w:spacing w:after="0" w:line="360" w:lineRule="auto"/>
        <w:ind w:left="0"/>
        <w:jc w:val="both"/>
        <w:rPr>
          <w:rFonts w:ascii="Garamond" w:hAnsi="Garamond"/>
          <w:b/>
          <w:bCs/>
          <w:i/>
          <w:iCs/>
          <w:sz w:val="24"/>
          <w:szCs w:val="24"/>
        </w:rPr>
      </w:pPr>
    </w:p>
    <w:p w14:paraId="3E467539" w14:textId="47EFBC1A" w:rsidR="003C2719" w:rsidRPr="00E52C57" w:rsidRDefault="003C2719" w:rsidP="003C2719">
      <w:pPr>
        <w:pStyle w:val="ListParagraph"/>
        <w:spacing w:after="0" w:line="360" w:lineRule="auto"/>
        <w:ind w:left="0"/>
        <w:jc w:val="both"/>
        <w:rPr>
          <w:rFonts w:ascii="Garamond" w:hAnsi="Garamond"/>
          <w:b/>
          <w:bCs/>
          <w:i/>
          <w:iCs/>
          <w:sz w:val="24"/>
          <w:szCs w:val="24"/>
        </w:rPr>
      </w:pPr>
      <w:r w:rsidRPr="00E52C57">
        <w:rPr>
          <w:rFonts w:ascii="Garamond" w:hAnsi="Garamond"/>
          <w:b/>
          <w:bCs/>
          <w:i/>
          <w:iCs/>
          <w:sz w:val="24"/>
          <w:szCs w:val="24"/>
        </w:rPr>
        <w:t>Learning Facilities and Infrastructure</w:t>
      </w:r>
    </w:p>
    <w:p w14:paraId="300BEAA4" w14:textId="77777777" w:rsidR="003C2719" w:rsidRPr="00E52C57" w:rsidRDefault="003C2719" w:rsidP="003C2719">
      <w:pPr>
        <w:pStyle w:val="ListParagraph"/>
        <w:spacing w:after="0" w:line="360" w:lineRule="auto"/>
        <w:ind w:left="0" w:firstLine="709"/>
        <w:jc w:val="both"/>
        <w:rPr>
          <w:rFonts w:ascii="Garamond" w:hAnsi="Garamond"/>
          <w:sz w:val="24"/>
          <w:szCs w:val="24"/>
        </w:rPr>
      </w:pPr>
      <w:r w:rsidRPr="00E52C57">
        <w:rPr>
          <w:rFonts w:ascii="Garamond" w:hAnsi="Garamond"/>
          <w:sz w:val="24"/>
          <w:szCs w:val="24"/>
        </w:rPr>
        <w:t>Based on the results of the infrastructure readiness questionnaire at MTsN 1 Bone with indicators of learning facilities and infrastructure, it shows that 8% are in “less ready” category 82% in “ready” category and 10% in “highly ready” category as shown in the following table.</w:t>
      </w:r>
    </w:p>
    <w:p w14:paraId="543574BC" w14:textId="77777777" w:rsidR="003C2719" w:rsidRPr="00E52C57" w:rsidRDefault="003C2719" w:rsidP="003C2719">
      <w:pPr>
        <w:spacing w:after="0" w:line="240" w:lineRule="auto"/>
        <w:jc w:val="center"/>
        <w:rPr>
          <w:rFonts w:ascii="Garamond" w:hAnsi="Garamond"/>
          <w:sz w:val="24"/>
          <w:szCs w:val="24"/>
        </w:rPr>
      </w:pPr>
      <w:r w:rsidRPr="00E52C57">
        <w:rPr>
          <w:rFonts w:ascii="Garamond" w:hAnsi="Garamond"/>
          <w:b/>
          <w:bCs/>
          <w:sz w:val="24"/>
          <w:szCs w:val="24"/>
        </w:rPr>
        <w:t>Table 14.</w:t>
      </w:r>
      <w:r w:rsidRPr="00E52C57">
        <w:rPr>
          <w:rFonts w:ascii="Garamond" w:hAnsi="Garamond"/>
          <w:sz w:val="24"/>
          <w:szCs w:val="24"/>
        </w:rPr>
        <w:t xml:space="preserve"> Results of Madrasah Readiness Questionnaire in Implementing Independent Learning Curriculum at MTsN 1 Bone with Indicator of Learning Facilities and Infrastructure</w:t>
      </w:r>
    </w:p>
    <w:tbl>
      <w:tblPr>
        <w:tblStyle w:val="TableGrid"/>
        <w:tblW w:w="7094"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35"/>
        <w:gridCol w:w="3848"/>
        <w:gridCol w:w="1711"/>
      </w:tblGrid>
      <w:tr w:rsidR="003C2719" w:rsidRPr="00E52C57" w14:paraId="61440D40" w14:textId="77777777" w:rsidTr="001C1799">
        <w:trPr>
          <w:trHeight w:val="281"/>
        </w:trPr>
        <w:tc>
          <w:tcPr>
            <w:tcW w:w="1535" w:type="dxa"/>
            <w:tcBorders>
              <w:top w:val="single" w:sz="4" w:space="0" w:color="auto"/>
              <w:bottom w:val="single" w:sz="4" w:space="0" w:color="auto"/>
            </w:tcBorders>
          </w:tcPr>
          <w:p w14:paraId="21CC445D"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Criteria</w:t>
            </w:r>
          </w:p>
        </w:tc>
        <w:tc>
          <w:tcPr>
            <w:tcW w:w="3848" w:type="dxa"/>
            <w:tcBorders>
              <w:top w:val="single" w:sz="4" w:space="0" w:color="auto"/>
              <w:bottom w:val="single" w:sz="4" w:space="0" w:color="auto"/>
            </w:tcBorders>
          </w:tcPr>
          <w:p w14:paraId="34676520"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Score</w:t>
            </w:r>
          </w:p>
        </w:tc>
        <w:tc>
          <w:tcPr>
            <w:tcW w:w="1711" w:type="dxa"/>
            <w:tcBorders>
              <w:top w:val="single" w:sz="4" w:space="0" w:color="auto"/>
              <w:bottom w:val="single" w:sz="4" w:space="0" w:color="auto"/>
            </w:tcBorders>
          </w:tcPr>
          <w:p w14:paraId="7D9F3F15"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Percentage</w:t>
            </w:r>
          </w:p>
        </w:tc>
      </w:tr>
      <w:tr w:rsidR="003C2719" w:rsidRPr="00E52C57" w14:paraId="73377AC4" w14:textId="77777777" w:rsidTr="001C1799">
        <w:trPr>
          <w:trHeight w:val="281"/>
        </w:trPr>
        <w:tc>
          <w:tcPr>
            <w:tcW w:w="1535" w:type="dxa"/>
            <w:tcBorders>
              <w:top w:val="single" w:sz="4" w:space="0" w:color="auto"/>
              <w:bottom w:val="single" w:sz="4" w:space="0" w:color="auto"/>
            </w:tcBorders>
          </w:tcPr>
          <w:p w14:paraId="0ABD3D93" w14:textId="77777777" w:rsidR="003C2719" w:rsidRPr="00E52C57" w:rsidRDefault="003C2719" w:rsidP="001C1799">
            <w:pPr>
              <w:jc w:val="center"/>
              <w:rPr>
                <w:rFonts w:ascii="Garamond" w:hAnsi="Garamond"/>
                <w:sz w:val="24"/>
                <w:szCs w:val="24"/>
              </w:rPr>
            </w:pPr>
            <w:r w:rsidRPr="00E52C57">
              <w:rPr>
                <w:rFonts w:ascii="Garamond" w:hAnsi="Garamond"/>
                <w:sz w:val="24"/>
                <w:szCs w:val="24"/>
              </w:rPr>
              <w:t>Not Ready</w:t>
            </w:r>
          </w:p>
        </w:tc>
        <w:tc>
          <w:tcPr>
            <w:tcW w:w="3848" w:type="dxa"/>
            <w:tcBorders>
              <w:top w:val="single" w:sz="4" w:space="0" w:color="auto"/>
              <w:bottom w:val="single" w:sz="4" w:space="0" w:color="auto"/>
            </w:tcBorders>
          </w:tcPr>
          <w:p w14:paraId="18EFE468"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 ≤25</m:t>
                </m:r>
              </m:oMath>
            </m:oMathPara>
          </w:p>
        </w:tc>
        <w:tc>
          <w:tcPr>
            <w:tcW w:w="1711" w:type="dxa"/>
            <w:tcBorders>
              <w:top w:val="single" w:sz="4" w:space="0" w:color="auto"/>
              <w:bottom w:val="single" w:sz="4" w:space="0" w:color="auto"/>
            </w:tcBorders>
          </w:tcPr>
          <w:p w14:paraId="461A1F81"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0%</m:t>
                </m:r>
              </m:oMath>
            </m:oMathPara>
          </w:p>
        </w:tc>
      </w:tr>
      <w:tr w:rsidR="003C2719" w:rsidRPr="00E52C57" w14:paraId="0023C432" w14:textId="77777777" w:rsidTr="001C1799">
        <w:trPr>
          <w:trHeight w:val="294"/>
        </w:trPr>
        <w:tc>
          <w:tcPr>
            <w:tcW w:w="1535" w:type="dxa"/>
            <w:tcBorders>
              <w:top w:val="single" w:sz="4" w:space="0" w:color="auto"/>
              <w:bottom w:val="single" w:sz="4" w:space="0" w:color="auto"/>
            </w:tcBorders>
          </w:tcPr>
          <w:p w14:paraId="326DA86A" w14:textId="77777777" w:rsidR="003C2719" w:rsidRPr="00E52C57" w:rsidRDefault="003C2719" w:rsidP="001C1799">
            <w:pPr>
              <w:jc w:val="center"/>
              <w:rPr>
                <w:rFonts w:ascii="Garamond" w:hAnsi="Garamond"/>
                <w:sz w:val="24"/>
                <w:szCs w:val="24"/>
              </w:rPr>
            </w:pPr>
            <w:r w:rsidRPr="00E52C57">
              <w:rPr>
                <w:rFonts w:ascii="Garamond" w:hAnsi="Garamond"/>
                <w:sz w:val="24"/>
                <w:szCs w:val="24"/>
              </w:rPr>
              <w:t>Less Ready</w:t>
            </w:r>
          </w:p>
        </w:tc>
        <w:tc>
          <w:tcPr>
            <w:tcW w:w="3848" w:type="dxa"/>
            <w:tcBorders>
              <w:top w:val="single" w:sz="4" w:space="0" w:color="auto"/>
              <w:bottom w:val="single" w:sz="4" w:space="0" w:color="auto"/>
            </w:tcBorders>
          </w:tcPr>
          <w:p w14:paraId="33E2C40C"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25&lt;x ≤50</m:t>
                </m:r>
              </m:oMath>
            </m:oMathPara>
          </w:p>
        </w:tc>
        <w:tc>
          <w:tcPr>
            <w:tcW w:w="1711" w:type="dxa"/>
            <w:tcBorders>
              <w:top w:val="single" w:sz="4" w:space="0" w:color="auto"/>
              <w:bottom w:val="single" w:sz="4" w:space="0" w:color="auto"/>
            </w:tcBorders>
          </w:tcPr>
          <w:p w14:paraId="1D87DC86"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8%</m:t>
                </m:r>
              </m:oMath>
            </m:oMathPara>
          </w:p>
        </w:tc>
      </w:tr>
      <w:tr w:rsidR="003C2719" w:rsidRPr="00E52C57" w14:paraId="00954B5D" w14:textId="77777777" w:rsidTr="001C1799">
        <w:trPr>
          <w:trHeight w:val="281"/>
        </w:trPr>
        <w:tc>
          <w:tcPr>
            <w:tcW w:w="1535" w:type="dxa"/>
            <w:tcBorders>
              <w:top w:val="single" w:sz="4" w:space="0" w:color="auto"/>
              <w:bottom w:val="single" w:sz="4" w:space="0" w:color="auto"/>
            </w:tcBorders>
          </w:tcPr>
          <w:p w14:paraId="772A5886" w14:textId="77777777" w:rsidR="003C2719" w:rsidRPr="00E52C57" w:rsidRDefault="003C2719" w:rsidP="001C1799">
            <w:pPr>
              <w:jc w:val="center"/>
              <w:rPr>
                <w:rFonts w:ascii="Garamond" w:hAnsi="Garamond"/>
                <w:sz w:val="24"/>
                <w:szCs w:val="24"/>
              </w:rPr>
            </w:pPr>
            <w:r w:rsidRPr="00E52C57">
              <w:rPr>
                <w:rFonts w:ascii="Garamond" w:hAnsi="Garamond"/>
                <w:sz w:val="24"/>
                <w:szCs w:val="24"/>
              </w:rPr>
              <w:t>Ready</w:t>
            </w:r>
          </w:p>
        </w:tc>
        <w:tc>
          <w:tcPr>
            <w:tcW w:w="3848" w:type="dxa"/>
            <w:tcBorders>
              <w:top w:val="single" w:sz="4" w:space="0" w:color="auto"/>
              <w:bottom w:val="single" w:sz="4" w:space="0" w:color="auto"/>
            </w:tcBorders>
          </w:tcPr>
          <w:p w14:paraId="2E930CE3"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50&lt;x ≤75</m:t>
                </m:r>
              </m:oMath>
            </m:oMathPara>
          </w:p>
        </w:tc>
        <w:tc>
          <w:tcPr>
            <w:tcW w:w="1711" w:type="dxa"/>
            <w:tcBorders>
              <w:top w:val="single" w:sz="4" w:space="0" w:color="auto"/>
              <w:bottom w:val="single" w:sz="4" w:space="0" w:color="auto"/>
            </w:tcBorders>
          </w:tcPr>
          <w:p w14:paraId="5A621A3C"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82%</m:t>
                </m:r>
              </m:oMath>
            </m:oMathPara>
          </w:p>
        </w:tc>
      </w:tr>
      <w:tr w:rsidR="003C2719" w:rsidRPr="00E52C57" w14:paraId="12E40759" w14:textId="77777777" w:rsidTr="001C1799">
        <w:trPr>
          <w:trHeight w:val="281"/>
        </w:trPr>
        <w:tc>
          <w:tcPr>
            <w:tcW w:w="1535" w:type="dxa"/>
            <w:tcBorders>
              <w:top w:val="single" w:sz="4" w:space="0" w:color="auto"/>
              <w:bottom w:val="single" w:sz="4" w:space="0" w:color="auto"/>
            </w:tcBorders>
          </w:tcPr>
          <w:p w14:paraId="7A78E0E9" w14:textId="77777777" w:rsidR="003C2719" w:rsidRPr="00E52C57" w:rsidRDefault="003C2719" w:rsidP="001C1799">
            <w:pPr>
              <w:jc w:val="center"/>
              <w:rPr>
                <w:rFonts w:ascii="Garamond" w:hAnsi="Garamond"/>
                <w:sz w:val="24"/>
                <w:szCs w:val="24"/>
              </w:rPr>
            </w:pPr>
            <w:r w:rsidRPr="00E52C57">
              <w:rPr>
                <w:rFonts w:ascii="Garamond" w:hAnsi="Garamond"/>
                <w:sz w:val="24"/>
                <w:szCs w:val="24"/>
              </w:rPr>
              <w:t>Highly Ready</w:t>
            </w:r>
          </w:p>
        </w:tc>
        <w:tc>
          <w:tcPr>
            <w:tcW w:w="3848" w:type="dxa"/>
            <w:tcBorders>
              <w:top w:val="single" w:sz="4" w:space="0" w:color="auto"/>
              <w:bottom w:val="single" w:sz="4" w:space="0" w:color="auto"/>
            </w:tcBorders>
          </w:tcPr>
          <w:p w14:paraId="0A593858"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x&gt;75</m:t>
                </m:r>
              </m:oMath>
            </m:oMathPara>
          </w:p>
        </w:tc>
        <w:tc>
          <w:tcPr>
            <w:tcW w:w="1711" w:type="dxa"/>
            <w:tcBorders>
              <w:top w:val="single" w:sz="4" w:space="0" w:color="auto"/>
              <w:bottom w:val="single" w:sz="4" w:space="0" w:color="auto"/>
            </w:tcBorders>
          </w:tcPr>
          <w:p w14:paraId="1BD343FD"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10%</m:t>
                </m:r>
              </m:oMath>
            </m:oMathPara>
          </w:p>
        </w:tc>
      </w:tr>
      <w:tr w:rsidR="003C2719" w:rsidRPr="00E52C57" w14:paraId="1F929CD6" w14:textId="77777777" w:rsidTr="001C1799">
        <w:trPr>
          <w:trHeight w:val="281"/>
        </w:trPr>
        <w:tc>
          <w:tcPr>
            <w:tcW w:w="5383" w:type="dxa"/>
            <w:gridSpan w:val="2"/>
            <w:tcBorders>
              <w:top w:val="single" w:sz="4" w:space="0" w:color="auto"/>
              <w:bottom w:val="single" w:sz="4" w:space="0" w:color="auto"/>
            </w:tcBorders>
          </w:tcPr>
          <w:p w14:paraId="50FA8AEB" w14:textId="77777777" w:rsidR="003C2719" w:rsidRPr="00E52C57" w:rsidRDefault="003C2719" w:rsidP="001C1799">
            <w:pPr>
              <w:jc w:val="center"/>
              <w:rPr>
                <w:rFonts w:ascii="Garamond" w:hAnsi="Garamond"/>
                <w:sz w:val="24"/>
                <w:szCs w:val="24"/>
              </w:rPr>
            </w:pPr>
            <w:r w:rsidRPr="00E52C57">
              <w:rPr>
                <w:rFonts w:ascii="Garamond" w:hAnsi="Garamond"/>
                <w:sz w:val="24"/>
                <w:szCs w:val="24"/>
              </w:rPr>
              <w:t>Total</w:t>
            </w:r>
          </w:p>
        </w:tc>
        <w:tc>
          <w:tcPr>
            <w:tcW w:w="1711" w:type="dxa"/>
            <w:tcBorders>
              <w:top w:val="single" w:sz="4" w:space="0" w:color="auto"/>
              <w:bottom w:val="single" w:sz="4" w:space="0" w:color="auto"/>
            </w:tcBorders>
          </w:tcPr>
          <w:p w14:paraId="36B02BF1"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100%</m:t>
                </m:r>
              </m:oMath>
            </m:oMathPara>
          </w:p>
        </w:tc>
      </w:tr>
    </w:tbl>
    <w:p w14:paraId="569780E0" w14:textId="77777777" w:rsidR="003C2719" w:rsidRPr="00E52C57" w:rsidRDefault="003C2719" w:rsidP="003C2719">
      <w:pPr>
        <w:spacing w:after="0" w:line="360" w:lineRule="auto"/>
        <w:ind w:firstLine="720"/>
        <w:jc w:val="both"/>
        <w:rPr>
          <w:rFonts w:ascii="Garamond" w:hAnsi="Garamond"/>
          <w:sz w:val="24"/>
          <w:szCs w:val="24"/>
        </w:rPr>
      </w:pPr>
    </w:p>
    <w:p w14:paraId="0D3807FD" w14:textId="77777777" w:rsidR="003C2719" w:rsidRPr="00E52C57" w:rsidRDefault="003C2719" w:rsidP="003C2719">
      <w:pPr>
        <w:spacing w:after="120" w:line="360" w:lineRule="auto"/>
        <w:ind w:firstLine="720"/>
        <w:jc w:val="both"/>
        <w:rPr>
          <w:rFonts w:ascii="Garamond" w:hAnsi="Garamond"/>
          <w:sz w:val="24"/>
          <w:szCs w:val="24"/>
        </w:rPr>
      </w:pPr>
      <w:r w:rsidRPr="00E52C57">
        <w:rPr>
          <w:rFonts w:ascii="Garamond" w:hAnsi="Garamond"/>
          <w:sz w:val="24"/>
          <w:szCs w:val="24"/>
        </w:rPr>
        <w:t>Based on the results of interviews with the Vice Principal for Curriculum and several teachers at MTsN 1 Bone, the facilities and infrastructure for the learning process are not yet fully adequate. However, the madrasah is trying to fulfill it optimally soon. Especially for its orientation towards digital madrasah, Wi-Fi is quite adequate, although there are still certain points that have not been reached. The library has also provided books, both electronic and manual. For electronic books, students can download them themselves. Meanwhile, manual books have been prepared by the madrasah but have not met the number of students and have not covered all subjects, only general subjects are available.</w:t>
      </w:r>
    </w:p>
    <w:p w14:paraId="39973CFE" w14:textId="77777777" w:rsidR="003C2719" w:rsidRPr="00E52C57" w:rsidRDefault="003C2719" w:rsidP="003C2719">
      <w:pPr>
        <w:pStyle w:val="ListParagraph"/>
        <w:spacing w:after="0" w:line="360" w:lineRule="auto"/>
        <w:ind w:left="0"/>
        <w:jc w:val="both"/>
        <w:rPr>
          <w:rFonts w:ascii="Garamond" w:hAnsi="Garamond"/>
          <w:b/>
          <w:bCs/>
          <w:i/>
          <w:iCs/>
          <w:sz w:val="24"/>
          <w:szCs w:val="24"/>
        </w:rPr>
      </w:pPr>
      <w:r w:rsidRPr="00E52C57">
        <w:rPr>
          <w:rFonts w:ascii="Garamond" w:hAnsi="Garamond"/>
          <w:b/>
          <w:bCs/>
          <w:i/>
          <w:iCs/>
          <w:sz w:val="24"/>
          <w:szCs w:val="24"/>
        </w:rPr>
        <w:lastRenderedPageBreak/>
        <w:t>Supporting Facilities and Infrastructures</w:t>
      </w:r>
    </w:p>
    <w:p w14:paraId="7A0BAC12" w14:textId="77777777" w:rsidR="003C2719" w:rsidRPr="00E52C57" w:rsidRDefault="003C2719" w:rsidP="003C2719">
      <w:pPr>
        <w:pStyle w:val="ListParagraph"/>
        <w:spacing w:after="0" w:line="360" w:lineRule="auto"/>
        <w:ind w:left="0" w:firstLine="709"/>
        <w:jc w:val="both"/>
        <w:rPr>
          <w:rFonts w:ascii="Garamond" w:hAnsi="Garamond"/>
          <w:sz w:val="24"/>
          <w:szCs w:val="24"/>
        </w:rPr>
      </w:pPr>
      <w:r w:rsidRPr="00E52C57">
        <w:rPr>
          <w:rFonts w:ascii="Garamond" w:hAnsi="Garamond"/>
          <w:sz w:val="24"/>
          <w:szCs w:val="24"/>
        </w:rPr>
        <w:t>Based on the results of the infrastructure readiness questionnaire at MTsN 1 Bone with indicators of learning facilities and infrastructure, it shows that 10% are in “less ready” category, 81% in “ready” category and 9% in “highly ready” category as shown in the following table.</w:t>
      </w:r>
    </w:p>
    <w:p w14:paraId="2CD5198A" w14:textId="77777777" w:rsidR="003C2719" w:rsidRPr="00E52C57" w:rsidRDefault="003C2719" w:rsidP="003C2719">
      <w:pPr>
        <w:spacing w:after="0" w:line="240" w:lineRule="auto"/>
        <w:jc w:val="center"/>
        <w:rPr>
          <w:rFonts w:ascii="Garamond" w:hAnsi="Garamond"/>
          <w:sz w:val="24"/>
          <w:szCs w:val="24"/>
        </w:rPr>
      </w:pPr>
      <w:r w:rsidRPr="00E52C57">
        <w:rPr>
          <w:rFonts w:ascii="Garamond" w:hAnsi="Garamond"/>
          <w:b/>
          <w:bCs/>
          <w:sz w:val="24"/>
          <w:szCs w:val="24"/>
        </w:rPr>
        <w:t>Table 15.</w:t>
      </w:r>
      <w:r w:rsidRPr="00E52C57">
        <w:rPr>
          <w:rFonts w:ascii="Garamond" w:hAnsi="Garamond"/>
          <w:sz w:val="24"/>
          <w:szCs w:val="24"/>
        </w:rPr>
        <w:t xml:space="preserve"> The Results of Madrasah Readiness Questionnaire in Implementing Independent Learning Curriculum at MTsN 1 Bone with Indicator of Supporting Facilities and Infrastructures</w:t>
      </w:r>
    </w:p>
    <w:tbl>
      <w:tblPr>
        <w:tblStyle w:val="TableGrid"/>
        <w:tblW w:w="7057"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27"/>
        <w:gridCol w:w="3828"/>
        <w:gridCol w:w="1702"/>
      </w:tblGrid>
      <w:tr w:rsidR="003C2719" w:rsidRPr="00E52C57" w14:paraId="331FD464" w14:textId="77777777" w:rsidTr="001C1799">
        <w:trPr>
          <w:trHeight w:val="305"/>
        </w:trPr>
        <w:tc>
          <w:tcPr>
            <w:tcW w:w="1527" w:type="dxa"/>
            <w:tcBorders>
              <w:top w:val="single" w:sz="4" w:space="0" w:color="auto"/>
              <w:bottom w:val="single" w:sz="4" w:space="0" w:color="auto"/>
            </w:tcBorders>
          </w:tcPr>
          <w:p w14:paraId="0641854C"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Criteria</w:t>
            </w:r>
          </w:p>
        </w:tc>
        <w:tc>
          <w:tcPr>
            <w:tcW w:w="3828" w:type="dxa"/>
            <w:tcBorders>
              <w:top w:val="single" w:sz="4" w:space="0" w:color="auto"/>
              <w:bottom w:val="single" w:sz="4" w:space="0" w:color="auto"/>
            </w:tcBorders>
          </w:tcPr>
          <w:p w14:paraId="1AA37700"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Score</w:t>
            </w:r>
          </w:p>
        </w:tc>
        <w:tc>
          <w:tcPr>
            <w:tcW w:w="1702" w:type="dxa"/>
            <w:tcBorders>
              <w:top w:val="single" w:sz="4" w:space="0" w:color="auto"/>
              <w:bottom w:val="single" w:sz="4" w:space="0" w:color="auto"/>
            </w:tcBorders>
          </w:tcPr>
          <w:p w14:paraId="0C18EBEF" w14:textId="77777777" w:rsidR="003C2719" w:rsidRPr="00E52C57" w:rsidRDefault="003C2719" w:rsidP="001C1799">
            <w:pPr>
              <w:jc w:val="center"/>
              <w:rPr>
                <w:rFonts w:ascii="Garamond" w:hAnsi="Garamond"/>
                <w:b/>
                <w:bCs/>
                <w:sz w:val="24"/>
                <w:szCs w:val="24"/>
              </w:rPr>
            </w:pPr>
            <w:r w:rsidRPr="00E52C57">
              <w:rPr>
                <w:rFonts w:ascii="Garamond" w:hAnsi="Garamond"/>
                <w:b/>
                <w:bCs/>
                <w:sz w:val="24"/>
                <w:szCs w:val="24"/>
              </w:rPr>
              <w:t>Percentage</w:t>
            </w:r>
          </w:p>
        </w:tc>
      </w:tr>
      <w:tr w:rsidR="003C2719" w:rsidRPr="00E52C57" w14:paraId="52E97121" w14:textId="77777777" w:rsidTr="001C1799">
        <w:trPr>
          <w:trHeight w:val="305"/>
        </w:trPr>
        <w:tc>
          <w:tcPr>
            <w:tcW w:w="1527" w:type="dxa"/>
            <w:tcBorders>
              <w:top w:val="single" w:sz="4" w:space="0" w:color="auto"/>
              <w:bottom w:val="single" w:sz="4" w:space="0" w:color="auto"/>
            </w:tcBorders>
          </w:tcPr>
          <w:p w14:paraId="6723CC61" w14:textId="77777777" w:rsidR="003C2719" w:rsidRPr="00E52C57" w:rsidRDefault="003C2719" w:rsidP="001C1799">
            <w:pPr>
              <w:jc w:val="center"/>
              <w:rPr>
                <w:rFonts w:ascii="Garamond" w:hAnsi="Garamond"/>
                <w:sz w:val="24"/>
                <w:szCs w:val="24"/>
              </w:rPr>
            </w:pPr>
            <w:r w:rsidRPr="00E52C57">
              <w:rPr>
                <w:rFonts w:ascii="Garamond" w:hAnsi="Garamond"/>
                <w:sz w:val="24"/>
                <w:szCs w:val="24"/>
              </w:rPr>
              <w:t>Not Ready</w:t>
            </w:r>
          </w:p>
        </w:tc>
        <w:tc>
          <w:tcPr>
            <w:tcW w:w="3828" w:type="dxa"/>
            <w:tcBorders>
              <w:top w:val="single" w:sz="4" w:space="0" w:color="auto"/>
              <w:bottom w:val="single" w:sz="4" w:space="0" w:color="auto"/>
            </w:tcBorders>
          </w:tcPr>
          <w:p w14:paraId="63648D16"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 ≤25</m:t>
                </m:r>
              </m:oMath>
            </m:oMathPara>
          </w:p>
        </w:tc>
        <w:tc>
          <w:tcPr>
            <w:tcW w:w="1702" w:type="dxa"/>
            <w:tcBorders>
              <w:top w:val="single" w:sz="4" w:space="0" w:color="auto"/>
              <w:bottom w:val="single" w:sz="4" w:space="0" w:color="auto"/>
            </w:tcBorders>
          </w:tcPr>
          <w:p w14:paraId="23857BC1"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0%</m:t>
                </m:r>
              </m:oMath>
            </m:oMathPara>
          </w:p>
        </w:tc>
      </w:tr>
      <w:tr w:rsidR="003C2719" w:rsidRPr="00E52C57" w14:paraId="65700E15" w14:textId="77777777" w:rsidTr="001C1799">
        <w:trPr>
          <w:trHeight w:val="319"/>
        </w:trPr>
        <w:tc>
          <w:tcPr>
            <w:tcW w:w="1527" w:type="dxa"/>
            <w:tcBorders>
              <w:top w:val="single" w:sz="4" w:space="0" w:color="auto"/>
              <w:bottom w:val="single" w:sz="4" w:space="0" w:color="auto"/>
            </w:tcBorders>
          </w:tcPr>
          <w:p w14:paraId="60A5ECE8" w14:textId="77777777" w:rsidR="003C2719" w:rsidRPr="00E52C57" w:rsidRDefault="003C2719" w:rsidP="001C1799">
            <w:pPr>
              <w:jc w:val="center"/>
              <w:rPr>
                <w:rFonts w:ascii="Garamond" w:hAnsi="Garamond"/>
                <w:sz w:val="24"/>
                <w:szCs w:val="24"/>
              </w:rPr>
            </w:pPr>
            <w:r w:rsidRPr="00E52C57">
              <w:rPr>
                <w:rFonts w:ascii="Garamond" w:hAnsi="Garamond"/>
                <w:sz w:val="24"/>
                <w:szCs w:val="24"/>
              </w:rPr>
              <w:t>Less Ready</w:t>
            </w:r>
          </w:p>
        </w:tc>
        <w:tc>
          <w:tcPr>
            <w:tcW w:w="3828" w:type="dxa"/>
            <w:tcBorders>
              <w:top w:val="single" w:sz="4" w:space="0" w:color="auto"/>
              <w:bottom w:val="single" w:sz="4" w:space="0" w:color="auto"/>
            </w:tcBorders>
          </w:tcPr>
          <w:p w14:paraId="587E6C07"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25&lt;x ≤50</m:t>
                </m:r>
              </m:oMath>
            </m:oMathPara>
          </w:p>
        </w:tc>
        <w:tc>
          <w:tcPr>
            <w:tcW w:w="1702" w:type="dxa"/>
            <w:tcBorders>
              <w:top w:val="single" w:sz="4" w:space="0" w:color="auto"/>
              <w:bottom w:val="single" w:sz="4" w:space="0" w:color="auto"/>
            </w:tcBorders>
          </w:tcPr>
          <w:p w14:paraId="05032A07"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10%</m:t>
                </m:r>
              </m:oMath>
            </m:oMathPara>
          </w:p>
        </w:tc>
      </w:tr>
      <w:tr w:rsidR="003C2719" w:rsidRPr="00E52C57" w14:paraId="67DD6A30" w14:textId="77777777" w:rsidTr="001C1799">
        <w:trPr>
          <w:trHeight w:val="305"/>
        </w:trPr>
        <w:tc>
          <w:tcPr>
            <w:tcW w:w="1527" w:type="dxa"/>
            <w:tcBorders>
              <w:top w:val="single" w:sz="4" w:space="0" w:color="auto"/>
              <w:bottom w:val="single" w:sz="4" w:space="0" w:color="auto"/>
            </w:tcBorders>
          </w:tcPr>
          <w:p w14:paraId="16D916AB" w14:textId="77777777" w:rsidR="003C2719" w:rsidRPr="00E52C57" w:rsidRDefault="003C2719" w:rsidP="001C1799">
            <w:pPr>
              <w:jc w:val="center"/>
              <w:rPr>
                <w:rFonts w:ascii="Garamond" w:hAnsi="Garamond"/>
                <w:sz w:val="24"/>
                <w:szCs w:val="24"/>
              </w:rPr>
            </w:pPr>
            <w:r w:rsidRPr="00E52C57">
              <w:rPr>
                <w:rFonts w:ascii="Garamond" w:hAnsi="Garamond"/>
                <w:sz w:val="24"/>
                <w:szCs w:val="24"/>
              </w:rPr>
              <w:t>Ready</w:t>
            </w:r>
          </w:p>
        </w:tc>
        <w:tc>
          <w:tcPr>
            <w:tcW w:w="3828" w:type="dxa"/>
            <w:tcBorders>
              <w:top w:val="single" w:sz="4" w:space="0" w:color="auto"/>
              <w:bottom w:val="single" w:sz="4" w:space="0" w:color="auto"/>
            </w:tcBorders>
          </w:tcPr>
          <w:p w14:paraId="21476C33"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50&lt;x ≤75</m:t>
                </m:r>
              </m:oMath>
            </m:oMathPara>
          </w:p>
        </w:tc>
        <w:tc>
          <w:tcPr>
            <w:tcW w:w="1702" w:type="dxa"/>
            <w:tcBorders>
              <w:top w:val="single" w:sz="4" w:space="0" w:color="auto"/>
              <w:bottom w:val="single" w:sz="4" w:space="0" w:color="auto"/>
            </w:tcBorders>
          </w:tcPr>
          <w:p w14:paraId="4C0E9E58"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81%</m:t>
                </m:r>
              </m:oMath>
            </m:oMathPara>
          </w:p>
        </w:tc>
      </w:tr>
      <w:tr w:rsidR="003C2719" w:rsidRPr="00E52C57" w14:paraId="5C59C705" w14:textId="77777777" w:rsidTr="001C1799">
        <w:trPr>
          <w:trHeight w:val="305"/>
        </w:trPr>
        <w:tc>
          <w:tcPr>
            <w:tcW w:w="1527" w:type="dxa"/>
            <w:tcBorders>
              <w:top w:val="single" w:sz="4" w:space="0" w:color="auto"/>
              <w:bottom w:val="single" w:sz="4" w:space="0" w:color="auto"/>
            </w:tcBorders>
          </w:tcPr>
          <w:p w14:paraId="343F9392" w14:textId="77777777" w:rsidR="003C2719" w:rsidRPr="00E52C57" w:rsidRDefault="003C2719" w:rsidP="001C1799">
            <w:pPr>
              <w:jc w:val="center"/>
              <w:rPr>
                <w:rFonts w:ascii="Garamond" w:hAnsi="Garamond"/>
                <w:sz w:val="24"/>
                <w:szCs w:val="24"/>
              </w:rPr>
            </w:pPr>
            <w:r w:rsidRPr="00E52C57">
              <w:rPr>
                <w:rFonts w:ascii="Garamond" w:hAnsi="Garamond"/>
                <w:sz w:val="24"/>
                <w:szCs w:val="24"/>
              </w:rPr>
              <w:t>Highly Ready</w:t>
            </w:r>
          </w:p>
        </w:tc>
        <w:tc>
          <w:tcPr>
            <w:tcW w:w="3828" w:type="dxa"/>
            <w:tcBorders>
              <w:top w:val="single" w:sz="4" w:space="0" w:color="auto"/>
              <w:bottom w:val="single" w:sz="4" w:space="0" w:color="auto"/>
            </w:tcBorders>
          </w:tcPr>
          <w:p w14:paraId="060D239B"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x&gt;75</m:t>
                </m:r>
              </m:oMath>
            </m:oMathPara>
          </w:p>
        </w:tc>
        <w:tc>
          <w:tcPr>
            <w:tcW w:w="1702" w:type="dxa"/>
            <w:tcBorders>
              <w:top w:val="single" w:sz="4" w:space="0" w:color="auto"/>
              <w:bottom w:val="single" w:sz="4" w:space="0" w:color="auto"/>
            </w:tcBorders>
          </w:tcPr>
          <w:p w14:paraId="411BA370"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9%</m:t>
                </m:r>
              </m:oMath>
            </m:oMathPara>
          </w:p>
        </w:tc>
      </w:tr>
      <w:tr w:rsidR="003C2719" w:rsidRPr="00E52C57" w14:paraId="4583914E" w14:textId="77777777" w:rsidTr="001C1799">
        <w:trPr>
          <w:trHeight w:val="305"/>
        </w:trPr>
        <w:tc>
          <w:tcPr>
            <w:tcW w:w="5355" w:type="dxa"/>
            <w:gridSpan w:val="2"/>
            <w:tcBorders>
              <w:top w:val="single" w:sz="4" w:space="0" w:color="auto"/>
              <w:bottom w:val="single" w:sz="4" w:space="0" w:color="auto"/>
            </w:tcBorders>
          </w:tcPr>
          <w:p w14:paraId="7B34E1A8" w14:textId="77777777" w:rsidR="003C2719" w:rsidRPr="00E52C57" w:rsidRDefault="003C2719" w:rsidP="001C1799">
            <w:pPr>
              <w:jc w:val="center"/>
              <w:rPr>
                <w:rFonts w:ascii="Garamond" w:hAnsi="Garamond"/>
                <w:sz w:val="24"/>
                <w:szCs w:val="24"/>
              </w:rPr>
            </w:pPr>
            <w:r w:rsidRPr="00E52C57">
              <w:rPr>
                <w:rFonts w:ascii="Garamond" w:hAnsi="Garamond"/>
                <w:sz w:val="24"/>
                <w:szCs w:val="24"/>
              </w:rPr>
              <w:t>Total</w:t>
            </w:r>
          </w:p>
        </w:tc>
        <w:tc>
          <w:tcPr>
            <w:tcW w:w="1702" w:type="dxa"/>
            <w:tcBorders>
              <w:top w:val="single" w:sz="4" w:space="0" w:color="auto"/>
              <w:bottom w:val="single" w:sz="4" w:space="0" w:color="auto"/>
            </w:tcBorders>
          </w:tcPr>
          <w:p w14:paraId="36C1D7E1" w14:textId="77777777" w:rsidR="003C2719" w:rsidRPr="00E52C57" w:rsidRDefault="003C2719" w:rsidP="001C1799">
            <w:pPr>
              <w:jc w:val="center"/>
              <w:rPr>
                <w:rFonts w:ascii="Garamond" w:hAnsi="Garamond"/>
                <w:sz w:val="24"/>
                <w:szCs w:val="24"/>
              </w:rPr>
            </w:pPr>
            <m:oMathPara>
              <m:oMath>
                <m:r>
                  <w:rPr>
                    <w:rFonts w:ascii="Cambria Math" w:hAnsi="Cambria Math"/>
                    <w:sz w:val="24"/>
                    <w:szCs w:val="24"/>
                  </w:rPr>
                  <m:t>100%</m:t>
                </m:r>
              </m:oMath>
            </m:oMathPara>
          </w:p>
        </w:tc>
      </w:tr>
    </w:tbl>
    <w:p w14:paraId="636A2A83" w14:textId="77777777" w:rsidR="003C2719" w:rsidRPr="00E52C57" w:rsidRDefault="003C2719" w:rsidP="003C2719">
      <w:pPr>
        <w:spacing w:after="0" w:line="360" w:lineRule="auto"/>
        <w:ind w:firstLine="720"/>
        <w:jc w:val="both"/>
        <w:rPr>
          <w:rFonts w:ascii="Garamond" w:hAnsi="Garamond"/>
          <w:sz w:val="24"/>
          <w:szCs w:val="24"/>
        </w:rPr>
      </w:pPr>
    </w:p>
    <w:p w14:paraId="7AEDC0DF" w14:textId="77777777" w:rsidR="003C2719" w:rsidRPr="00E52C57" w:rsidRDefault="003C2719" w:rsidP="003C2719">
      <w:pPr>
        <w:pStyle w:val="ListParagraph"/>
        <w:spacing w:after="120" w:line="360" w:lineRule="auto"/>
        <w:ind w:left="0" w:firstLine="709"/>
        <w:jc w:val="both"/>
        <w:rPr>
          <w:rFonts w:ascii="Garamond" w:hAnsi="Garamond"/>
          <w:sz w:val="24"/>
          <w:szCs w:val="24"/>
        </w:rPr>
      </w:pPr>
      <w:r w:rsidRPr="00E52C57">
        <w:rPr>
          <w:rFonts w:ascii="Garamond" w:hAnsi="Garamond"/>
          <w:sz w:val="24"/>
          <w:szCs w:val="24"/>
        </w:rPr>
        <w:t>The results of interviews with the Vice Principal for Curriculum and several teachers at MTsN 1 Bone stated that supporting facilities and infrastructure in the independent curriculum have been provided and are adequate for the needs of class VII such as Wi-Fi, Smart TV and several textbooks, but there are still minor shortcomings in the capacity of the installed network speed and the number of textbooks which are still limited in number.</w:t>
      </w:r>
    </w:p>
    <w:p w14:paraId="1700E469" w14:textId="77777777" w:rsidR="00854A9C" w:rsidRPr="00854A9C" w:rsidRDefault="00854A9C" w:rsidP="00E03255">
      <w:pPr>
        <w:pStyle w:val="ListParagraph"/>
        <w:spacing w:after="120" w:line="360" w:lineRule="auto"/>
        <w:ind w:left="0" w:firstLine="709"/>
        <w:jc w:val="both"/>
        <w:rPr>
          <w:rFonts w:ascii="Garamond" w:hAnsi="Garamond"/>
          <w:sz w:val="24"/>
          <w:szCs w:val="24"/>
          <w:lang w:val="id-ID"/>
        </w:rPr>
      </w:pPr>
      <w:r w:rsidRPr="00E52C57">
        <w:rPr>
          <w:rFonts w:ascii="Garamond" w:hAnsi="Garamond"/>
          <w:sz w:val="24"/>
          <w:szCs w:val="24"/>
        </w:rPr>
        <w:t xml:space="preserve">Another important component needed to ensure the readiness of madrasah in implementing the Merdeka Belajar Curriculum is adequate facilities and infrastructure. The results of the questionnaire research showed that 62% of the readiness of facilities and infrastructure in MTsN 1 Bone was in the "ready" category. The results of the researcher's interview with the Vice Principal for Curriculum and educators at MTsN 1 Bone that learning facilities and infrastructure already exist and are ready to use but are not fully adequate to use and the madrasah is trying to solve this. </w:t>
      </w:r>
    </w:p>
    <w:p w14:paraId="7399ACAB" w14:textId="06879D2C" w:rsidR="00D67091" w:rsidRPr="00E52C57" w:rsidRDefault="00D67091" w:rsidP="00655AF7">
      <w:pPr>
        <w:spacing w:after="0"/>
        <w:jc w:val="both"/>
        <w:rPr>
          <w:rFonts w:ascii="Garamond" w:hAnsi="Garamond"/>
          <w:b/>
          <w:sz w:val="24"/>
          <w:szCs w:val="24"/>
          <w:lang w:val="id-ID"/>
        </w:rPr>
      </w:pPr>
      <w:r w:rsidRPr="00E52C57">
        <w:rPr>
          <w:rFonts w:ascii="Garamond" w:hAnsi="Garamond"/>
          <w:b/>
          <w:sz w:val="24"/>
          <w:szCs w:val="24"/>
        </w:rPr>
        <w:t>Analysis</w:t>
      </w:r>
      <w:r w:rsidR="0071050D" w:rsidRPr="00E52C57">
        <w:rPr>
          <w:rFonts w:ascii="Garamond" w:hAnsi="Garamond"/>
          <w:b/>
          <w:sz w:val="24"/>
          <w:szCs w:val="24"/>
          <w:lang w:val="id-ID"/>
        </w:rPr>
        <w:t>/Discu</w:t>
      </w:r>
      <w:r w:rsidR="00AD3185">
        <w:rPr>
          <w:rFonts w:ascii="Garamond" w:hAnsi="Garamond"/>
          <w:b/>
          <w:sz w:val="24"/>
          <w:szCs w:val="24"/>
        </w:rPr>
        <w:t>s</w:t>
      </w:r>
      <w:r w:rsidR="0071050D" w:rsidRPr="00E52C57">
        <w:rPr>
          <w:rFonts w:ascii="Garamond" w:hAnsi="Garamond"/>
          <w:b/>
          <w:sz w:val="24"/>
          <w:szCs w:val="24"/>
          <w:lang w:val="id-ID"/>
        </w:rPr>
        <w:t xml:space="preserve">sion </w:t>
      </w:r>
    </w:p>
    <w:p w14:paraId="09350BE6" w14:textId="6CC28384" w:rsidR="003C2719" w:rsidRPr="00E52C57" w:rsidRDefault="003C2719" w:rsidP="003C2719">
      <w:pPr>
        <w:spacing w:after="0" w:line="360" w:lineRule="auto"/>
        <w:jc w:val="both"/>
        <w:rPr>
          <w:rFonts w:ascii="Garamond" w:hAnsi="Garamond"/>
          <w:b/>
          <w:bCs/>
          <w:sz w:val="24"/>
          <w:szCs w:val="24"/>
        </w:rPr>
      </w:pPr>
      <w:r w:rsidRPr="00E52C57">
        <w:rPr>
          <w:rFonts w:ascii="Garamond" w:hAnsi="Garamond"/>
          <w:b/>
          <w:bCs/>
          <w:sz w:val="24"/>
          <w:szCs w:val="24"/>
        </w:rPr>
        <w:t>Readiness of Teachers at MTsN 1 Bone in the Implementation of the Independent Learning Curriculum</w:t>
      </w:r>
    </w:p>
    <w:p w14:paraId="433AE408" w14:textId="1B6B94B8" w:rsidR="003C2719" w:rsidRPr="00E52C57" w:rsidRDefault="003C2719" w:rsidP="003C2719">
      <w:pPr>
        <w:pStyle w:val="ListParagraph"/>
        <w:spacing w:after="0" w:line="360" w:lineRule="auto"/>
        <w:ind w:left="0" w:firstLine="709"/>
        <w:jc w:val="both"/>
        <w:rPr>
          <w:rFonts w:ascii="Garamond" w:hAnsi="Garamond"/>
          <w:sz w:val="24"/>
          <w:szCs w:val="24"/>
        </w:rPr>
      </w:pPr>
      <w:r w:rsidRPr="00E52C57">
        <w:rPr>
          <w:rFonts w:ascii="Garamond" w:hAnsi="Garamond"/>
          <w:sz w:val="24"/>
          <w:szCs w:val="24"/>
        </w:rPr>
        <w:t xml:space="preserve">In general, the readiness of MTsN 1 Bone in implementing the Independent Learning Curriculum is in the category of ready with a percentage of 71% based on the results of a survey questionnaire. This can be seen from the results of the questionnaire per dimension, namely in the knowledge dimension, it obtained a percentage of 65%, which is in the ready category. Whereas in the personal development dimension, it obtained a result of 69% and is in the ready category. Likewise, in the teacher dimension, with a percentage of 73%, it is in the ready </w:t>
      </w:r>
      <w:r w:rsidRPr="00E52C57">
        <w:rPr>
          <w:rFonts w:ascii="Garamond" w:hAnsi="Garamond"/>
          <w:sz w:val="24"/>
          <w:szCs w:val="24"/>
        </w:rPr>
        <w:lastRenderedPageBreak/>
        <w:t>category. The teachers have known the Independent Learning Curriculum factually, conceptually, and procedurally.</w:t>
      </w:r>
    </w:p>
    <w:p w14:paraId="454AD488" w14:textId="05E5C5B5" w:rsidR="003C2719" w:rsidRPr="00E52C57" w:rsidRDefault="003C2719" w:rsidP="003C2719">
      <w:pPr>
        <w:pStyle w:val="ListParagraph"/>
        <w:spacing w:after="0" w:line="360" w:lineRule="auto"/>
        <w:ind w:left="0" w:firstLine="709"/>
        <w:jc w:val="both"/>
        <w:rPr>
          <w:rFonts w:ascii="Garamond" w:hAnsi="Garamond"/>
          <w:sz w:val="24"/>
          <w:szCs w:val="24"/>
          <w:lang w:val="id-ID"/>
        </w:rPr>
      </w:pPr>
      <w:r w:rsidRPr="00E52C57">
        <w:rPr>
          <w:rFonts w:ascii="Garamond" w:hAnsi="Garamond"/>
          <w:sz w:val="24"/>
          <w:szCs w:val="24"/>
        </w:rPr>
        <w:t>The Vice Principal for Curriculum also conveyed the same thing, that in implementing the Independent Learning Curriculum, it is divided into three models, namely the independent learning model, the independent change model, and the independent sharing model. At MTsN 1 Bone, the independent learning curriculum independent change model is applied because it has adapted the entire system of learning for grade VII. This is in line with the guidance from the Ministry of Education, Culture, Research, and Technology that the implementation of the Independent Learning Curriculum is through three options.</w:t>
      </w:r>
    </w:p>
    <w:p w14:paraId="62C84623" w14:textId="7CE6AA1E" w:rsidR="003C2719" w:rsidRPr="00E52C57" w:rsidRDefault="003C2719" w:rsidP="003C2719">
      <w:pPr>
        <w:pStyle w:val="ListParagraph"/>
        <w:spacing w:after="120" w:line="360" w:lineRule="auto"/>
        <w:ind w:left="0" w:firstLine="709"/>
        <w:jc w:val="both"/>
        <w:rPr>
          <w:rFonts w:ascii="Garamond" w:hAnsi="Garamond"/>
          <w:sz w:val="24"/>
          <w:szCs w:val="24"/>
        </w:rPr>
      </w:pPr>
      <w:r w:rsidRPr="00E52C57">
        <w:rPr>
          <w:rFonts w:ascii="Garamond" w:hAnsi="Garamond"/>
          <w:sz w:val="24"/>
          <w:szCs w:val="24"/>
        </w:rPr>
        <w:t>The teachers at MTsN 1 Bone are ready and willing to develop their skills. This can be seen from the results of an interview with the Vice Principal for Curriculum and several teachers at the madrasah that they are seeking information related to the Independent Learning Curriculum, attending several seminars, curriculum workshops, and training. This is also conveyed in a study that found teachers must be well-prepared to face curriculum change by reflecting on themselves, participating in training and development, and taking the initiative</w:t>
      </w:r>
      <w:r w:rsidR="00692D69">
        <w:rPr>
          <w:rStyle w:val="FootnoteReference"/>
          <w:rFonts w:ascii="Garamond" w:hAnsi="Garamond"/>
          <w:sz w:val="24"/>
          <w:szCs w:val="24"/>
        </w:rPr>
        <w:footnoteReference w:id="14"/>
      </w:r>
      <w:r w:rsidRPr="00E52C57">
        <w:rPr>
          <w:rFonts w:ascii="Garamond" w:hAnsi="Garamond"/>
          <w:sz w:val="24"/>
          <w:szCs w:val="24"/>
        </w:rPr>
        <w:t>. The latter is also essential in the process of professional development for teachers, as it is an opportunity to improve the quality of education. With proper preparation, teachers can play a critical role in ensuring the success of the implementation of the Independent Learning Curriculum</w:t>
      </w:r>
      <w:r w:rsidR="00692D69">
        <w:rPr>
          <w:rStyle w:val="FootnoteReference"/>
          <w:rFonts w:ascii="Garamond" w:hAnsi="Garamond"/>
          <w:sz w:val="24"/>
          <w:szCs w:val="24"/>
        </w:rPr>
        <w:footnoteReference w:id="15"/>
      </w:r>
      <w:r w:rsidRPr="00E52C57">
        <w:rPr>
          <w:rFonts w:ascii="Garamond" w:hAnsi="Garamond"/>
          <w:sz w:val="24"/>
          <w:szCs w:val="24"/>
        </w:rPr>
        <w:t>.</w:t>
      </w:r>
    </w:p>
    <w:p w14:paraId="3190360F" w14:textId="15391F43" w:rsidR="003C2719" w:rsidRPr="00E52C57" w:rsidRDefault="003C2719" w:rsidP="003C2719">
      <w:pPr>
        <w:spacing w:after="0" w:line="360" w:lineRule="auto"/>
        <w:jc w:val="both"/>
        <w:rPr>
          <w:rFonts w:ascii="Garamond" w:hAnsi="Garamond"/>
          <w:b/>
          <w:bCs/>
          <w:sz w:val="24"/>
          <w:szCs w:val="24"/>
        </w:rPr>
      </w:pPr>
      <w:r w:rsidRPr="00E52C57">
        <w:rPr>
          <w:rFonts w:ascii="Garamond" w:hAnsi="Garamond"/>
          <w:b/>
          <w:bCs/>
          <w:sz w:val="24"/>
          <w:szCs w:val="24"/>
        </w:rPr>
        <w:t>The Readiness of Facilities and Infrastructure at MTsN 1 Bone in the Implementation of Independent Learning Curriculum</w:t>
      </w:r>
    </w:p>
    <w:p w14:paraId="5CA6354C" w14:textId="34482AD7" w:rsidR="003C2719" w:rsidRPr="00E52C57" w:rsidRDefault="003C2719" w:rsidP="003C2719">
      <w:pPr>
        <w:pStyle w:val="ListParagraph"/>
        <w:spacing w:after="120" w:line="360" w:lineRule="auto"/>
        <w:ind w:left="0" w:firstLine="709"/>
        <w:jc w:val="both"/>
        <w:rPr>
          <w:rFonts w:ascii="Garamond" w:hAnsi="Garamond"/>
          <w:sz w:val="24"/>
          <w:szCs w:val="24"/>
          <w:lang w:val="id-ID"/>
        </w:rPr>
      </w:pPr>
      <w:r w:rsidRPr="00E52C57">
        <w:rPr>
          <w:rFonts w:ascii="Garamond" w:hAnsi="Garamond"/>
          <w:sz w:val="24"/>
          <w:szCs w:val="24"/>
        </w:rPr>
        <w:t>Another important component needed to ensure the readiness of madrasah in implementing the Merdeka Belajar Curriculum is adequate facilities and infrastructure</w:t>
      </w:r>
      <w:r w:rsidR="00750CCB">
        <w:rPr>
          <w:rStyle w:val="FootnoteReference"/>
          <w:rFonts w:ascii="Garamond" w:hAnsi="Garamond"/>
          <w:sz w:val="24"/>
          <w:szCs w:val="24"/>
        </w:rPr>
        <w:footnoteReference w:id="16"/>
      </w:r>
      <w:r w:rsidRPr="00E52C57">
        <w:rPr>
          <w:rFonts w:ascii="Garamond" w:hAnsi="Garamond"/>
          <w:sz w:val="24"/>
          <w:szCs w:val="24"/>
        </w:rPr>
        <w:t xml:space="preserve">. The results of the questionnaire research show that 62% of the readiness of facilities and infrastructure at MTsN 1 Bone is in the “ready” category. The results of researchers' interviews with the Vice Principal for Curriculum and educators at MTsN 1 Bone that learning facilities and infrastructure already exist and are ready for use but are not fully adequate for use and the </w:t>
      </w:r>
      <w:r w:rsidRPr="00E52C57">
        <w:rPr>
          <w:rFonts w:ascii="Garamond" w:hAnsi="Garamond"/>
          <w:sz w:val="24"/>
          <w:szCs w:val="24"/>
        </w:rPr>
        <w:lastRenderedPageBreak/>
        <w:t>madrasah is trying to complete this. The facilities needed to implement the Independent Learning Curriculum include internet access, independent curriculum assessment modules and source books used as assessment tools. Facilities and infrastructure need to be well maintained and regularly updated to keep them relevant and functioning properly.</w:t>
      </w:r>
      <w:r w:rsidR="00692D69">
        <w:rPr>
          <w:rStyle w:val="FootnoteReference"/>
          <w:rFonts w:ascii="Garamond" w:hAnsi="Garamond"/>
          <w:sz w:val="24"/>
          <w:szCs w:val="24"/>
        </w:rPr>
        <w:footnoteReference w:id="17"/>
      </w:r>
      <w:r w:rsidRPr="00E52C57">
        <w:rPr>
          <w:rFonts w:ascii="Garamond" w:hAnsi="Garamond"/>
          <w:sz w:val="24"/>
          <w:szCs w:val="24"/>
        </w:rPr>
        <w:t xml:space="preserve"> Continuous development of educational facilities also needs to be considered in order to match the development of educational needs that change over time.</w:t>
      </w:r>
    </w:p>
    <w:p w14:paraId="20143B7D" w14:textId="77777777" w:rsidR="003C2719" w:rsidRPr="00E52C57" w:rsidRDefault="003C2719" w:rsidP="00655AF7">
      <w:pPr>
        <w:spacing w:after="0"/>
        <w:ind w:firstLine="720"/>
        <w:jc w:val="both"/>
        <w:rPr>
          <w:rFonts w:ascii="Garamond" w:hAnsi="Garamond"/>
          <w:sz w:val="24"/>
          <w:szCs w:val="24"/>
        </w:rPr>
      </w:pPr>
    </w:p>
    <w:p w14:paraId="3F54902C" w14:textId="77777777" w:rsidR="00DB0FBD" w:rsidRPr="00E52C57" w:rsidRDefault="00DB0FBD" w:rsidP="00655AF7">
      <w:pPr>
        <w:spacing w:after="0"/>
        <w:jc w:val="both"/>
        <w:rPr>
          <w:rFonts w:ascii="Garamond" w:hAnsi="Garamond"/>
          <w:b/>
          <w:sz w:val="24"/>
          <w:szCs w:val="24"/>
        </w:rPr>
      </w:pPr>
      <w:r w:rsidRPr="00E52C57">
        <w:rPr>
          <w:rFonts w:ascii="Garamond" w:hAnsi="Garamond"/>
          <w:b/>
          <w:sz w:val="24"/>
          <w:szCs w:val="24"/>
        </w:rPr>
        <w:t xml:space="preserve">CONCLUSION </w:t>
      </w:r>
    </w:p>
    <w:p w14:paraId="1DAB05CE" w14:textId="77777777" w:rsidR="003473CA" w:rsidRPr="00E52C57" w:rsidRDefault="003473CA" w:rsidP="009E55A9">
      <w:pPr>
        <w:spacing w:after="0" w:line="360" w:lineRule="auto"/>
        <w:ind w:firstLine="709"/>
        <w:jc w:val="both"/>
        <w:rPr>
          <w:rFonts w:ascii="Garamond" w:eastAsia="Calibri" w:hAnsi="Garamond"/>
          <w:color w:val="000000"/>
          <w:sz w:val="24"/>
          <w:szCs w:val="24"/>
        </w:rPr>
      </w:pPr>
      <w:r w:rsidRPr="00F86C85">
        <w:rPr>
          <w:rFonts w:ascii="Garamond" w:eastAsia="Calibri" w:hAnsi="Garamond"/>
          <w:color w:val="000000"/>
          <w:sz w:val="24"/>
          <w:szCs w:val="24"/>
        </w:rPr>
        <w:t>The results of research on the Independent Learning Curriculum have made an important contribution in understanding the effectiveness, factors that influence success, and effective implementation models of the Independent Learning Curriculum. After conducting research and analyzing research data, it was found that the readiness of educators in implementing the Independent Learning Curriculum in MTsN 1 Bone was in the ready category. However, limited access to the latest curriculum information still occurs, due to limited technological infrastructure such as poor internet networks. Meanwhile, the readiness of facilities and infrastructure is in the ready category. Some factors that concern facilities and infrastructure are overcoming procurement limitations.</w:t>
      </w:r>
    </w:p>
    <w:p w14:paraId="60571BD0" w14:textId="77777777" w:rsidR="003473CA" w:rsidRPr="00E52C57" w:rsidRDefault="003473CA" w:rsidP="002304E2">
      <w:pPr>
        <w:spacing w:after="0" w:line="360" w:lineRule="auto"/>
        <w:ind w:left="1" w:firstLine="719"/>
        <w:jc w:val="both"/>
        <w:rPr>
          <w:rFonts w:ascii="Garamond" w:hAnsi="Garamond"/>
          <w:sz w:val="24"/>
          <w:szCs w:val="24"/>
        </w:rPr>
      </w:pPr>
      <w:r>
        <w:rPr>
          <w:rFonts w:ascii="Garamond" w:eastAsia="Calibri" w:hAnsi="Garamond"/>
          <w:color w:val="000000"/>
          <w:sz w:val="24"/>
          <w:szCs w:val="24"/>
        </w:rPr>
        <w:t xml:space="preserve">Although this study provides an overview of the application of a good curriculum, the limitations of the study only took one sample location of schools in Eastern Indonesia, therefore further research needs to be carried out related to this discussion. Furthermore, in order to improve the readiness of Madrasahs in implementing the Merdeka Belajar Curriculum into the "highly ready" category, it is recommended that Madrasahs form a curriculum team consisting of teachers, staff, and stakeholders to be trained on the technical planning, implementation, and assessment of learning in the Merdeka Learning Curriculum. Thus, teachers understand the implementation of the Independent Learning Curriculum (IKM) and can change teachers' views on the new learning paradigm. In this way, teachers will have a positive attitude towards SMEs. Furthermore, Madrasah is expected to improve its facilities and infrastructure which is one of the supporting factors for the implementation of the Independent Learning Curriculum in Madrasah. </w:t>
      </w:r>
    </w:p>
    <w:p w14:paraId="6CBD218E" w14:textId="77777777" w:rsidR="00DB0FBD" w:rsidRDefault="00DB0FBD" w:rsidP="00655AF7">
      <w:pPr>
        <w:spacing w:after="0"/>
        <w:jc w:val="both"/>
        <w:rPr>
          <w:rFonts w:ascii="Garamond" w:hAnsi="Garamond"/>
          <w:sz w:val="24"/>
          <w:szCs w:val="24"/>
        </w:rPr>
      </w:pPr>
    </w:p>
    <w:p w14:paraId="42D0B677" w14:textId="77777777" w:rsidR="00ED6314" w:rsidRDefault="00ED6314" w:rsidP="00655AF7">
      <w:pPr>
        <w:spacing w:after="0"/>
        <w:jc w:val="both"/>
        <w:rPr>
          <w:rFonts w:ascii="Garamond" w:hAnsi="Garamond"/>
          <w:sz w:val="24"/>
          <w:szCs w:val="24"/>
        </w:rPr>
      </w:pPr>
    </w:p>
    <w:p w14:paraId="57A8B184" w14:textId="77777777" w:rsidR="00ED6314" w:rsidRDefault="00ED6314" w:rsidP="00655AF7">
      <w:pPr>
        <w:spacing w:after="0"/>
        <w:jc w:val="both"/>
        <w:rPr>
          <w:rFonts w:ascii="Garamond" w:hAnsi="Garamond"/>
          <w:sz w:val="24"/>
          <w:szCs w:val="24"/>
        </w:rPr>
      </w:pPr>
    </w:p>
    <w:p w14:paraId="7C4DE388" w14:textId="77777777" w:rsidR="00ED6314" w:rsidRDefault="00ED6314" w:rsidP="00655AF7">
      <w:pPr>
        <w:spacing w:after="0"/>
        <w:jc w:val="both"/>
        <w:rPr>
          <w:rFonts w:ascii="Garamond" w:hAnsi="Garamond"/>
          <w:sz w:val="24"/>
          <w:szCs w:val="24"/>
        </w:rPr>
      </w:pPr>
    </w:p>
    <w:p w14:paraId="624040CB" w14:textId="77777777" w:rsidR="00ED6314" w:rsidRPr="00E52C57" w:rsidRDefault="00ED6314" w:rsidP="00655AF7">
      <w:pPr>
        <w:spacing w:after="0"/>
        <w:jc w:val="both"/>
        <w:rPr>
          <w:rFonts w:ascii="Garamond" w:hAnsi="Garamond"/>
          <w:sz w:val="24"/>
          <w:szCs w:val="24"/>
        </w:rPr>
      </w:pPr>
    </w:p>
    <w:p w14:paraId="2EBD2698" w14:textId="77777777" w:rsidR="00DB0FBD" w:rsidRPr="00E52C57" w:rsidRDefault="00DB0FBD" w:rsidP="00655AF7">
      <w:pPr>
        <w:spacing w:after="0"/>
        <w:jc w:val="both"/>
        <w:rPr>
          <w:rFonts w:ascii="Garamond" w:hAnsi="Garamond"/>
          <w:b/>
          <w:sz w:val="24"/>
          <w:szCs w:val="24"/>
        </w:rPr>
      </w:pPr>
      <w:r w:rsidRPr="00E52C57">
        <w:rPr>
          <w:rFonts w:ascii="Garamond" w:hAnsi="Garamond"/>
          <w:b/>
          <w:sz w:val="24"/>
          <w:szCs w:val="24"/>
        </w:rPr>
        <w:t>ACKNOWLEDGMENT</w:t>
      </w:r>
    </w:p>
    <w:p w14:paraId="7015FF89" w14:textId="59BC2DE7" w:rsidR="00DB0FBD" w:rsidRPr="00E52C57" w:rsidRDefault="003C2719" w:rsidP="00E52C57">
      <w:pPr>
        <w:spacing w:after="0" w:line="360" w:lineRule="auto"/>
        <w:jc w:val="both"/>
        <w:rPr>
          <w:rFonts w:ascii="Garamond" w:eastAsia="Calibri" w:hAnsi="Garamond"/>
          <w:sz w:val="24"/>
          <w:szCs w:val="24"/>
          <w:lang w:val="id-ID"/>
        </w:rPr>
      </w:pPr>
      <w:r w:rsidRPr="00E52C57">
        <w:rPr>
          <w:rFonts w:ascii="Garamond" w:hAnsi="Garamond"/>
          <w:sz w:val="24"/>
          <w:szCs w:val="24"/>
        </w:rPr>
        <w:t>The researchers would like to express sincere gratitude to the team and all parties who have helped and participated in this research, both directly and indirectly, especially to the Institute for Research and Community Service of the State Islamic Institute of Bone for their support in funding the research. The researchers hope this article will be beneficial both theoretically and practically.</w:t>
      </w:r>
      <w:r w:rsidRPr="00E52C57">
        <w:rPr>
          <w:rFonts w:ascii="Garamond" w:eastAsia="Calibri" w:hAnsi="Garamond"/>
          <w:sz w:val="24"/>
          <w:szCs w:val="24"/>
          <w:lang w:val="id-ID"/>
        </w:rPr>
        <w:t xml:space="preserve"> </w:t>
      </w:r>
    </w:p>
    <w:p w14:paraId="6E93B3FB" w14:textId="77777777" w:rsidR="008A2F0B" w:rsidRPr="00E52C57" w:rsidRDefault="008A2F0B" w:rsidP="00655AF7">
      <w:pPr>
        <w:spacing w:after="0"/>
        <w:jc w:val="both"/>
        <w:rPr>
          <w:rFonts w:ascii="Garamond" w:hAnsi="Garamond"/>
          <w:b/>
          <w:sz w:val="24"/>
          <w:szCs w:val="24"/>
          <w:lang w:val="id-ID"/>
        </w:rPr>
      </w:pPr>
    </w:p>
    <w:p w14:paraId="48BAAE40" w14:textId="77777777" w:rsidR="00EE4B04" w:rsidRDefault="00EE4B04" w:rsidP="00655AF7">
      <w:pPr>
        <w:spacing w:after="0"/>
        <w:jc w:val="both"/>
        <w:rPr>
          <w:rFonts w:ascii="Garamond" w:hAnsi="Garamond"/>
          <w:b/>
          <w:sz w:val="24"/>
          <w:szCs w:val="24"/>
          <w:lang w:val="id-ID"/>
        </w:rPr>
      </w:pPr>
    </w:p>
    <w:p w14:paraId="336C8897" w14:textId="435FAE9E" w:rsidR="00DB0FBD" w:rsidRDefault="003957B8" w:rsidP="00655AF7">
      <w:pPr>
        <w:spacing w:after="0"/>
        <w:jc w:val="both"/>
        <w:rPr>
          <w:rFonts w:ascii="Garamond" w:hAnsi="Garamond"/>
          <w:b/>
          <w:sz w:val="24"/>
          <w:szCs w:val="24"/>
        </w:rPr>
      </w:pPr>
      <w:r w:rsidRPr="00E52C57">
        <w:rPr>
          <w:rFonts w:ascii="Garamond" w:hAnsi="Garamond"/>
          <w:b/>
          <w:sz w:val="24"/>
          <w:szCs w:val="24"/>
          <w:lang w:val="id-ID"/>
        </w:rPr>
        <w:t>REFERENCE</w:t>
      </w:r>
      <w:r w:rsidR="00DB0FBD" w:rsidRPr="00E52C57">
        <w:rPr>
          <w:rFonts w:ascii="Garamond" w:hAnsi="Garamond"/>
          <w:b/>
          <w:sz w:val="24"/>
          <w:szCs w:val="24"/>
        </w:rPr>
        <w:t xml:space="preserve"> </w:t>
      </w:r>
    </w:p>
    <w:p w14:paraId="615245B0" w14:textId="41B54820" w:rsidR="00750CCB" w:rsidRPr="00750CCB" w:rsidRDefault="00ED6314" w:rsidP="00750CCB">
      <w:pPr>
        <w:widowControl w:val="0"/>
        <w:autoSpaceDE w:val="0"/>
        <w:autoSpaceDN w:val="0"/>
        <w:adjustRightInd w:val="0"/>
        <w:spacing w:after="0" w:line="240" w:lineRule="auto"/>
        <w:ind w:left="480" w:hanging="480"/>
        <w:jc w:val="both"/>
        <w:rPr>
          <w:rFonts w:ascii="Garamond" w:hAnsi="Garamond" w:cs="Times New Roman"/>
          <w:noProof/>
          <w:sz w:val="24"/>
          <w:szCs w:val="24"/>
        </w:rPr>
      </w:pPr>
      <w:r>
        <w:rPr>
          <w:rFonts w:ascii="Garamond" w:hAnsi="Garamond"/>
          <w:b/>
          <w:sz w:val="24"/>
          <w:szCs w:val="24"/>
        </w:rPr>
        <w:fldChar w:fldCharType="begin" w:fldLock="1"/>
      </w:r>
      <w:r>
        <w:rPr>
          <w:rFonts w:ascii="Garamond" w:hAnsi="Garamond"/>
          <w:b/>
          <w:sz w:val="24"/>
          <w:szCs w:val="24"/>
        </w:rPr>
        <w:instrText xml:space="preserve">ADDIN Mendeley Bibliography CSL_BIBLIOGRAPHY </w:instrText>
      </w:r>
      <w:r>
        <w:rPr>
          <w:rFonts w:ascii="Garamond" w:hAnsi="Garamond"/>
          <w:b/>
          <w:sz w:val="24"/>
          <w:szCs w:val="24"/>
        </w:rPr>
        <w:fldChar w:fldCharType="separate"/>
      </w:r>
      <w:r w:rsidR="00750CCB" w:rsidRPr="00750CCB">
        <w:rPr>
          <w:rFonts w:ascii="Garamond" w:hAnsi="Garamond" w:cs="Times New Roman"/>
          <w:noProof/>
          <w:sz w:val="24"/>
          <w:szCs w:val="24"/>
        </w:rPr>
        <w:t>Amali, Vika Rizky. “Manajemen Sarana Dan Prasarana Dalam Mendukung Implementasi Kuriikulum Merdeka Di SMAN 1 Plemahan.” IAIN Kendari, 2023.</w:t>
      </w:r>
    </w:p>
    <w:p w14:paraId="2C484A1B" w14:textId="77777777" w:rsidR="00750CCB" w:rsidRPr="00750CCB" w:rsidRDefault="00750CCB" w:rsidP="00750CC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750CCB">
        <w:rPr>
          <w:rFonts w:ascii="Garamond" w:hAnsi="Garamond" w:cs="Times New Roman"/>
          <w:noProof/>
          <w:sz w:val="24"/>
          <w:szCs w:val="24"/>
        </w:rPr>
        <w:t xml:space="preserve">Aziz, Muhammad Bachtiar, and Fajri Dwiyama. “Implementation of Assessments in Mathematics Teacher Learning during the Covid-19 Pandemic: A Case Study.” </w:t>
      </w:r>
      <w:r w:rsidRPr="00750CCB">
        <w:rPr>
          <w:rFonts w:ascii="Garamond" w:hAnsi="Garamond" w:cs="Times New Roman"/>
          <w:i/>
          <w:iCs/>
          <w:noProof/>
          <w:sz w:val="24"/>
          <w:szCs w:val="24"/>
        </w:rPr>
        <w:t>Tarbawi: Jurnal Keilmuan Manajemen Pendidikan</w:t>
      </w:r>
      <w:r w:rsidRPr="00750CCB">
        <w:rPr>
          <w:rFonts w:ascii="Garamond" w:hAnsi="Garamond" w:cs="Times New Roman"/>
          <w:noProof/>
          <w:sz w:val="24"/>
          <w:szCs w:val="24"/>
        </w:rPr>
        <w:t xml:space="preserve"> 8, no. 01 (2022): 139–46.</w:t>
      </w:r>
    </w:p>
    <w:p w14:paraId="6C4FA720" w14:textId="77777777" w:rsidR="00750CCB" w:rsidRPr="00750CCB" w:rsidRDefault="00750CCB" w:rsidP="00750CC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750CCB">
        <w:rPr>
          <w:rFonts w:ascii="Garamond" w:hAnsi="Garamond" w:cs="Times New Roman"/>
          <w:noProof/>
          <w:sz w:val="24"/>
          <w:szCs w:val="24"/>
        </w:rPr>
        <w:t xml:space="preserve">Ghony, M. Djunaidi, and Fauzan Almanshur. </w:t>
      </w:r>
      <w:r w:rsidRPr="00750CCB">
        <w:rPr>
          <w:rFonts w:ascii="Garamond" w:hAnsi="Garamond" w:cs="Times New Roman"/>
          <w:i/>
          <w:iCs/>
          <w:noProof/>
          <w:sz w:val="24"/>
          <w:szCs w:val="24"/>
        </w:rPr>
        <w:t>Metode Penelitian Kualitatif</w:t>
      </w:r>
      <w:r w:rsidRPr="00750CCB">
        <w:rPr>
          <w:rFonts w:ascii="Garamond" w:hAnsi="Garamond" w:cs="Times New Roman"/>
          <w:noProof/>
          <w:sz w:val="24"/>
          <w:szCs w:val="24"/>
        </w:rPr>
        <w:t>. Jakarta: Ar-Ruzz Media, 2012.</w:t>
      </w:r>
    </w:p>
    <w:p w14:paraId="46CB751B" w14:textId="77777777" w:rsidR="00750CCB" w:rsidRPr="00750CCB" w:rsidRDefault="00750CCB" w:rsidP="00750CC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750CCB">
        <w:rPr>
          <w:rFonts w:ascii="Garamond" w:hAnsi="Garamond" w:cs="Times New Roman"/>
          <w:noProof/>
          <w:sz w:val="24"/>
          <w:szCs w:val="24"/>
        </w:rPr>
        <w:t xml:space="preserve">Grecu, Yuliya Vladimirovna. “Differentiated Instruction: Curriculum and Resources Provide a Roadmap to Help English Teachers Meet Students’ Needs.” </w:t>
      </w:r>
      <w:r w:rsidRPr="00750CCB">
        <w:rPr>
          <w:rFonts w:ascii="Garamond" w:hAnsi="Garamond" w:cs="Times New Roman"/>
          <w:i/>
          <w:iCs/>
          <w:noProof/>
          <w:sz w:val="24"/>
          <w:szCs w:val="24"/>
        </w:rPr>
        <w:t>Teaching and Teacher Education</w:t>
      </w:r>
      <w:r w:rsidRPr="00750CCB">
        <w:rPr>
          <w:rFonts w:ascii="Garamond" w:hAnsi="Garamond" w:cs="Times New Roman"/>
          <w:noProof/>
          <w:sz w:val="24"/>
          <w:szCs w:val="24"/>
        </w:rPr>
        <w:t xml:space="preserve"> 125 (April 2023): 104064. https://doi.org/10.1016/j.tate.2023.104064.</w:t>
      </w:r>
    </w:p>
    <w:p w14:paraId="065857AA" w14:textId="77777777" w:rsidR="00750CCB" w:rsidRPr="00750CCB" w:rsidRDefault="00750CCB" w:rsidP="00750CC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750CCB">
        <w:rPr>
          <w:rFonts w:ascii="Garamond" w:hAnsi="Garamond" w:cs="Times New Roman"/>
          <w:noProof/>
          <w:sz w:val="24"/>
          <w:szCs w:val="24"/>
        </w:rPr>
        <w:t>Ihsan, Muhammad. “Kesiapan Guru Terhadap Implementasi Kurikulum Merdeka Belajar.” 1. Banjarmasin, 2022. https://doi.org/10.20527/tmkm.v1i1.428.</w:t>
      </w:r>
    </w:p>
    <w:p w14:paraId="0627D9D8" w14:textId="77777777" w:rsidR="00750CCB" w:rsidRPr="00750CCB" w:rsidRDefault="00750CCB" w:rsidP="00750CC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750CCB">
        <w:rPr>
          <w:rFonts w:ascii="Garamond" w:hAnsi="Garamond" w:cs="Times New Roman"/>
          <w:noProof/>
          <w:sz w:val="24"/>
          <w:szCs w:val="24"/>
        </w:rPr>
        <w:t xml:space="preserve">Imrotin, Imrotin, and Ifit Novita Sari. “Kesiapan Guru Bahasa Indonesia Sekolah Menengah Kejuruan (SMK) Dalam Menghadapi Program Merdeka Belajar.” </w:t>
      </w:r>
      <w:r w:rsidRPr="00750CCB">
        <w:rPr>
          <w:rFonts w:ascii="Garamond" w:hAnsi="Garamond" w:cs="Times New Roman"/>
          <w:i/>
          <w:iCs/>
          <w:noProof/>
          <w:sz w:val="24"/>
          <w:szCs w:val="24"/>
        </w:rPr>
        <w:t>Jurnal Guru Indonesia</w:t>
      </w:r>
      <w:r w:rsidRPr="00750CCB">
        <w:rPr>
          <w:rFonts w:ascii="Garamond" w:hAnsi="Garamond" w:cs="Times New Roman"/>
          <w:noProof/>
          <w:sz w:val="24"/>
          <w:szCs w:val="24"/>
        </w:rPr>
        <w:t xml:space="preserve"> 2, no. 1 (2022): 9–19.</w:t>
      </w:r>
    </w:p>
    <w:p w14:paraId="41DCF914" w14:textId="77777777" w:rsidR="00750CCB" w:rsidRPr="00750CCB" w:rsidRDefault="00750CCB" w:rsidP="00750CC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750CCB">
        <w:rPr>
          <w:rFonts w:ascii="Garamond" w:hAnsi="Garamond" w:cs="Times New Roman"/>
          <w:noProof/>
          <w:sz w:val="24"/>
          <w:szCs w:val="24"/>
        </w:rPr>
        <w:t xml:space="preserve">Kasmah, A. Sri Mardiyanti Syam, Mawaddah Tajuddin, Abd Hafid, and L. Idrus. “Evaluating the Implementation of Formal Early Childhood Education in Pesantren in South Sulawesi.” </w:t>
      </w:r>
      <w:r w:rsidRPr="00750CCB">
        <w:rPr>
          <w:rFonts w:ascii="Garamond" w:hAnsi="Garamond" w:cs="Times New Roman"/>
          <w:i/>
          <w:iCs/>
          <w:noProof/>
          <w:sz w:val="24"/>
          <w:szCs w:val="24"/>
        </w:rPr>
        <w:t>Nazhruna: Jurnal Pendidikan Islam</w:t>
      </w:r>
      <w:r w:rsidRPr="00750CCB">
        <w:rPr>
          <w:rFonts w:ascii="Garamond" w:hAnsi="Garamond" w:cs="Times New Roman"/>
          <w:noProof/>
          <w:sz w:val="24"/>
          <w:szCs w:val="24"/>
        </w:rPr>
        <w:t xml:space="preserve"> 6, no. 3 (2023): 436–56. https://doi.org/10.31538/nzh.v6i3.4209.</w:t>
      </w:r>
    </w:p>
    <w:p w14:paraId="554C444A" w14:textId="77777777" w:rsidR="00750CCB" w:rsidRPr="00750CCB" w:rsidRDefault="00750CCB" w:rsidP="00750CC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750CCB">
        <w:rPr>
          <w:rFonts w:ascii="Garamond" w:hAnsi="Garamond" w:cs="Times New Roman"/>
          <w:noProof/>
          <w:sz w:val="24"/>
          <w:szCs w:val="24"/>
        </w:rPr>
        <w:t>Kompas. “Perubahan Kurikulum Indonesia Butuh ”Committee of The Future”,” 2023. https://www.kompas.id/baca/opini/2023/01/15/perubahan-kurikulum-indonesia-butuh-committee-of-the-future.</w:t>
      </w:r>
    </w:p>
    <w:p w14:paraId="69E4A46B" w14:textId="77777777" w:rsidR="00750CCB" w:rsidRPr="00750CCB" w:rsidRDefault="00750CCB" w:rsidP="00750CC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750CCB">
        <w:rPr>
          <w:rFonts w:ascii="Garamond" w:hAnsi="Garamond" w:cs="Times New Roman"/>
          <w:noProof/>
          <w:sz w:val="24"/>
          <w:szCs w:val="24"/>
        </w:rPr>
        <w:t xml:space="preserve">Olanya, David Ross, Inger Lassen, Geoffrey Olok Tabo, Hannan Lassen Zakaria, Judith Awacorach, and Iben Jensen. “Exploring Hidden Curriculum in Responsible Management Education: A Narrative Inquiry of Students’ Lived Experience in Management and Leadership Training Programmes.” </w:t>
      </w:r>
      <w:r w:rsidRPr="00750CCB">
        <w:rPr>
          <w:rFonts w:ascii="Garamond" w:hAnsi="Garamond" w:cs="Times New Roman"/>
          <w:i/>
          <w:iCs/>
          <w:noProof/>
          <w:sz w:val="24"/>
          <w:szCs w:val="24"/>
        </w:rPr>
        <w:t>The International Journal of Management Education</w:t>
      </w:r>
      <w:r w:rsidRPr="00750CCB">
        <w:rPr>
          <w:rFonts w:ascii="Garamond" w:hAnsi="Garamond" w:cs="Times New Roman"/>
          <w:noProof/>
          <w:sz w:val="24"/>
          <w:szCs w:val="24"/>
        </w:rPr>
        <w:t xml:space="preserve"> 21, no. 3 (November 2023): 100861. https://doi.org/10.1016/j.ijme.2023.100861.</w:t>
      </w:r>
    </w:p>
    <w:p w14:paraId="03849F66" w14:textId="77777777" w:rsidR="00750CCB" w:rsidRPr="00750CCB" w:rsidRDefault="00750CCB" w:rsidP="00750CC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750CCB">
        <w:rPr>
          <w:rFonts w:ascii="Garamond" w:hAnsi="Garamond" w:cs="Times New Roman"/>
          <w:noProof/>
          <w:sz w:val="24"/>
          <w:szCs w:val="24"/>
        </w:rPr>
        <w:t xml:space="preserve">Rahmawati, Rici, Thahara Syafatul Mawadda, Widiyanni, Deby Isanaya, and Ratna Farwati. “Respon Guru Kimia Terhadap Kurikulum Prototipe.” In </w:t>
      </w:r>
      <w:r w:rsidRPr="00750CCB">
        <w:rPr>
          <w:rFonts w:ascii="Garamond" w:hAnsi="Garamond" w:cs="Times New Roman"/>
          <w:i/>
          <w:iCs/>
          <w:noProof/>
          <w:sz w:val="24"/>
          <w:szCs w:val="24"/>
        </w:rPr>
        <w:t>Prosiding Seminar Nasional Pendidikan Kimia</w:t>
      </w:r>
      <w:r w:rsidRPr="00750CCB">
        <w:rPr>
          <w:rFonts w:ascii="Garamond" w:hAnsi="Garamond" w:cs="Times New Roman"/>
          <w:noProof/>
          <w:sz w:val="24"/>
          <w:szCs w:val="24"/>
        </w:rPr>
        <w:t>, 52–60. Palembang, 2022.</w:t>
      </w:r>
    </w:p>
    <w:p w14:paraId="11E3CF91" w14:textId="77777777" w:rsidR="00750CCB" w:rsidRPr="00750CCB" w:rsidRDefault="00750CCB" w:rsidP="00750CC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750CCB">
        <w:rPr>
          <w:rFonts w:ascii="Garamond" w:hAnsi="Garamond" w:cs="Times New Roman"/>
          <w:noProof/>
          <w:sz w:val="24"/>
          <w:szCs w:val="24"/>
        </w:rPr>
        <w:t xml:space="preserve">Rao, N. J. “Outcome-Based Education: An Outline.” </w:t>
      </w:r>
      <w:r w:rsidRPr="00750CCB">
        <w:rPr>
          <w:rFonts w:ascii="Garamond" w:hAnsi="Garamond" w:cs="Times New Roman"/>
          <w:i/>
          <w:iCs/>
          <w:noProof/>
          <w:sz w:val="24"/>
          <w:szCs w:val="24"/>
        </w:rPr>
        <w:t>Higher Education for the Future</w:t>
      </w:r>
      <w:r w:rsidRPr="00750CCB">
        <w:rPr>
          <w:rFonts w:ascii="Garamond" w:hAnsi="Garamond" w:cs="Times New Roman"/>
          <w:noProof/>
          <w:sz w:val="24"/>
          <w:szCs w:val="24"/>
        </w:rPr>
        <w:t xml:space="preserve"> 7, no. 1 (January 2020): 5–21. https://doi.org/10.1177/2347631119886418.</w:t>
      </w:r>
    </w:p>
    <w:p w14:paraId="6B9EBA66" w14:textId="77777777" w:rsidR="00750CCB" w:rsidRPr="00750CCB" w:rsidRDefault="00750CCB" w:rsidP="00750CC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750CCB">
        <w:rPr>
          <w:rFonts w:ascii="Garamond" w:hAnsi="Garamond" w:cs="Times New Roman"/>
          <w:noProof/>
          <w:sz w:val="24"/>
          <w:szCs w:val="24"/>
        </w:rPr>
        <w:t xml:space="preserve">Rokhman, Mauhibur, Fadly Usman, Fatimah Usman, Azman Bin Haji Kassim, and Muslihun. “Consideration of Parents in Choosing Islamic Schools in the Digital Era.” </w:t>
      </w:r>
      <w:r w:rsidRPr="00750CCB">
        <w:rPr>
          <w:rFonts w:ascii="Garamond" w:hAnsi="Garamond" w:cs="Times New Roman"/>
          <w:i/>
          <w:iCs/>
          <w:noProof/>
          <w:sz w:val="24"/>
          <w:szCs w:val="24"/>
        </w:rPr>
        <w:t xml:space="preserve">Nazhruna: </w:t>
      </w:r>
      <w:r w:rsidRPr="00750CCB">
        <w:rPr>
          <w:rFonts w:ascii="Garamond" w:hAnsi="Garamond" w:cs="Times New Roman"/>
          <w:i/>
          <w:iCs/>
          <w:noProof/>
          <w:sz w:val="24"/>
          <w:szCs w:val="24"/>
        </w:rPr>
        <w:lastRenderedPageBreak/>
        <w:t>Jurnal Pendidikan Islam</w:t>
      </w:r>
      <w:r w:rsidRPr="00750CCB">
        <w:rPr>
          <w:rFonts w:ascii="Garamond" w:hAnsi="Garamond" w:cs="Times New Roman"/>
          <w:noProof/>
          <w:sz w:val="24"/>
          <w:szCs w:val="24"/>
        </w:rPr>
        <w:t xml:space="preserve"> 6, no. 3 (2023): 403–19. https://doi.org/10.31538/nzh.v6i3.4026.</w:t>
      </w:r>
    </w:p>
    <w:p w14:paraId="4361DB42" w14:textId="77777777" w:rsidR="00750CCB" w:rsidRPr="00750CCB" w:rsidRDefault="00750CCB" w:rsidP="00750CC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750CCB">
        <w:rPr>
          <w:rFonts w:ascii="Garamond" w:hAnsi="Garamond" w:cs="Times New Roman"/>
          <w:noProof/>
          <w:sz w:val="24"/>
          <w:szCs w:val="24"/>
        </w:rPr>
        <w:t xml:space="preserve">Rosmana, Primanita Sholihah, Sofyan Iskandar, Nur Annisa, Arini Nurfadilah, and Cantika Maharani. “Kesiapan Sekolah Dasar Dalam Menerapkan Kurikulum Prototipe Untuk Menciptakan Generasi Yang Kreatif Dan Inovatif.” </w:t>
      </w:r>
      <w:r w:rsidRPr="00750CCB">
        <w:rPr>
          <w:rFonts w:ascii="Garamond" w:hAnsi="Garamond" w:cs="Times New Roman"/>
          <w:i/>
          <w:iCs/>
          <w:noProof/>
          <w:sz w:val="24"/>
          <w:szCs w:val="24"/>
        </w:rPr>
        <w:t>Equilibrium: Jurnal Pendidikan</w:t>
      </w:r>
      <w:r w:rsidRPr="00750CCB">
        <w:rPr>
          <w:rFonts w:ascii="Garamond" w:hAnsi="Garamond" w:cs="Times New Roman"/>
          <w:noProof/>
          <w:sz w:val="24"/>
          <w:szCs w:val="24"/>
        </w:rPr>
        <w:t xml:space="preserve"> 10, no. 2 (2022): 175–84. https://doi.org/10.26618/equilibrium.v10i2.7262.</w:t>
      </w:r>
    </w:p>
    <w:p w14:paraId="1C2544BA" w14:textId="77777777" w:rsidR="00750CCB" w:rsidRPr="00750CCB" w:rsidRDefault="00750CCB" w:rsidP="00750CC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750CCB">
        <w:rPr>
          <w:rFonts w:ascii="Garamond" w:hAnsi="Garamond" w:cs="Times New Roman"/>
          <w:noProof/>
          <w:sz w:val="24"/>
          <w:szCs w:val="24"/>
        </w:rPr>
        <w:t xml:space="preserve">Shaheen, Saima. “Theoretical Perspectives and Current Challenges of Outcome-Based Education Framework.” </w:t>
      </w:r>
      <w:r w:rsidRPr="00750CCB">
        <w:rPr>
          <w:rFonts w:ascii="Garamond" w:hAnsi="Garamond" w:cs="Times New Roman"/>
          <w:i/>
          <w:iCs/>
          <w:noProof/>
          <w:sz w:val="24"/>
          <w:szCs w:val="24"/>
        </w:rPr>
        <w:t>International Journal of Engineering Education</w:t>
      </w:r>
      <w:r w:rsidRPr="00750CCB">
        <w:rPr>
          <w:rFonts w:ascii="Garamond" w:hAnsi="Garamond" w:cs="Times New Roman"/>
          <w:noProof/>
          <w:sz w:val="24"/>
          <w:szCs w:val="24"/>
        </w:rPr>
        <w:t xml:space="preserve"> 1, no. 2 (December 2019): 122–29. https://doi.org/10.14710/ijee.1.2.122-129.</w:t>
      </w:r>
    </w:p>
    <w:p w14:paraId="5CCA4D90" w14:textId="77777777" w:rsidR="00750CCB" w:rsidRPr="00750CCB" w:rsidRDefault="00750CCB" w:rsidP="00750CC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750CCB">
        <w:rPr>
          <w:rFonts w:ascii="Garamond" w:hAnsi="Garamond" w:cs="Times New Roman"/>
          <w:noProof/>
          <w:sz w:val="24"/>
          <w:szCs w:val="24"/>
        </w:rPr>
        <w:t xml:space="preserve">Soro, Suharyanto H, Kadar Budiman, Dudi Suprihadi, and Nur Ainiyah. “Implementasi Pengelolaan Sarana Prasarana Dalam Pemenuhan Standar Mutu Pendidikan Di Institut Perguruan Tinggi (IPI) Garut.” </w:t>
      </w:r>
      <w:r w:rsidRPr="00750CCB">
        <w:rPr>
          <w:rFonts w:ascii="Garamond" w:hAnsi="Garamond" w:cs="Times New Roman"/>
          <w:i/>
          <w:iCs/>
          <w:noProof/>
          <w:sz w:val="24"/>
          <w:szCs w:val="24"/>
        </w:rPr>
        <w:t>Al-Afkar, Journal For Islamic Studies</w:t>
      </w:r>
      <w:r w:rsidRPr="00750CCB">
        <w:rPr>
          <w:rFonts w:ascii="Garamond" w:hAnsi="Garamond" w:cs="Times New Roman"/>
          <w:noProof/>
          <w:sz w:val="24"/>
          <w:szCs w:val="24"/>
        </w:rPr>
        <w:t xml:space="preserve"> 6, no. 2 (2023): 291–303.</w:t>
      </w:r>
    </w:p>
    <w:p w14:paraId="580E7DC7" w14:textId="77777777" w:rsidR="00750CCB" w:rsidRPr="00750CCB" w:rsidRDefault="00750CCB" w:rsidP="00750CC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750CCB">
        <w:rPr>
          <w:rFonts w:ascii="Garamond" w:hAnsi="Garamond" w:cs="Times New Roman"/>
          <w:noProof/>
          <w:sz w:val="24"/>
          <w:szCs w:val="24"/>
        </w:rPr>
        <w:t xml:space="preserve">Sudjono, Anas. </w:t>
      </w:r>
      <w:r w:rsidRPr="00750CCB">
        <w:rPr>
          <w:rFonts w:ascii="Garamond" w:hAnsi="Garamond" w:cs="Times New Roman"/>
          <w:i/>
          <w:iCs/>
          <w:noProof/>
          <w:sz w:val="24"/>
          <w:szCs w:val="24"/>
        </w:rPr>
        <w:t>Pengantar Statistik Pendidikan</w:t>
      </w:r>
      <w:r w:rsidRPr="00750CCB">
        <w:rPr>
          <w:rFonts w:ascii="Garamond" w:hAnsi="Garamond" w:cs="Times New Roman"/>
          <w:noProof/>
          <w:sz w:val="24"/>
          <w:szCs w:val="24"/>
        </w:rPr>
        <w:t>. Jakarta: Raja Grafindo Persada, 2005.</w:t>
      </w:r>
    </w:p>
    <w:p w14:paraId="3EFC2DC9" w14:textId="77777777" w:rsidR="00750CCB" w:rsidRPr="00750CCB" w:rsidRDefault="00750CCB" w:rsidP="00750CCB">
      <w:pPr>
        <w:widowControl w:val="0"/>
        <w:autoSpaceDE w:val="0"/>
        <w:autoSpaceDN w:val="0"/>
        <w:adjustRightInd w:val="0"/>
        <w:spacing w:after="0" w:line="240" w:lineRule="auto"/>
        <w:ind w:left="480" w:hanging="480"/>
        <w:jc w:val="both"/>
        <w:rPr>
          <w:rFonts w:ascii="Garamond" w:hAnsi="Garamond"/>
          <w:noProof/>
          <w:sz w:val="24"/>
        </w:rPr>
      </w:pPr>
      <w:r w:rsidRPr="00750CCB">
        <w:rPr>
          <w:rFonts w:ascii="Garamond" w:hAnsi="Garamond" w:cs="Times New Roman"/>
          <w:noProof/>
          <w:sz w:val="24"/>
          <w:szCs w:val="24"/>
        </w:rPr>
        <w:t xml:space="preserve">Sun, Poi Hun, and Sek Yan Lee. “THE IMPORTANCE AND CHALLENGES OF OUTCOME-BASED EDUCATION Â€“ A CASE STUDY IN A PRIVATE HIGHER EDUCATION INSTITUTION.” </w:t>
      </w:r>
      <w:r w:rsidRPr="00750CCB">
        <w:rPr>
          <w:rFonts w:ascii="Garamond" w:hAnsi="Garamond" w:cs="Times New Roman"/>
          <w:i/>
          <w:iCs/>
          <w:noProof/>
          <w:sz w:val="24"/>
          <w:szCs w:val="24"/>
        </w:rPr>
        <w:t>Malaysian Journal of Learning and Instruction</w:t>
      </w:r>
      <w:r w:rsidRPr="00750CCB">
        <w:rPr>
          <w:rFonts w:ascii="Garamond" w:hAnsi="Garamond" w:cs="Times New Roman"/>
          <w:noProof/>
          <w:sz w:val="24"/>
          <w:szCs w:val="24"/>
        </w:rPr>
        <w:t xml:space="preserve"> 17 (2020). https://doi.org/10.32890/mjli2020.17.2.9.</w:t>
      </w:r>
    </w:p>
    <w:p w14:paraId="3B7DA9A3" w14:textId="78C278F0" w:rsidR="00ED6314" w:rsidRPr="00E52C57" w:rsidRDefault="00ED6314" w:rsidP="00750CCB">
      <w:pPr>
        <w:spacing w:after="0"/>
        <w:jc w:val="both"/>
        <w:rPr>
          <w:rFonts w:ascii="Garamond" w:hAnsi="Garamond"/>
          <w:b/>
          <w:sz w:val="24"/>
          <w:szCs w:val="24"/>
        </w:rPr>
      </w:pPr>
      <w:r>
        <w:rPr>
          <w:rFonts w:ascii="Garamond" w:hAnsi="Garamond"/>
          <w:b/>
          <w:sz w:val="24"/>
          <w:szCs w:val="24"/>
        </w:rPr>
        <w:fldChar w:fldCharType="end"/>
      </w:r>
    </w:p>
    <w:sectPr w:rsidR="00ED6314" w:rsidRPr="00E52C57" w:rsidSect="0019654E">
      <w:headerReference w:type="even" r:id="rId8"/>
      <w:footerReference w:type="even" r:id="rId9"/>
      <w:footerReference w:type="default" r:id="rId10"/>
      <w:pgSz w:w="11907" w:h="16839" w:code="9"/>
      <w:pgMar w:top="1701" w:right="1440"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BFF88" w14:textId="77777777" w:rsidR="0023715B" w:rsidRDefault="0023715B" w:rsidP="00236F12">
      <w:pPr>
        <w:spacing w:after="0" w:line="240" w:lineRule="auto"/>
      </w:pPr>
      <w:r>
        <w:separator/>
      </w:r>
    </w:p>
  </w:endnote>
  <w:endnote w:type="continuationSeparator" w:id="0">
    <w:p w14:paraId="418B6702" w14:textId="77777777" w:rsidR="0023715B" w:rsidRDefault="0023715B" w:rsidP="00236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C6438" w14:textId="77022372" w:rsidR="00856ABB" w:rsidRPr="00137A02" w:rsidRDefault="00856ABB" w:rsidP="005043BD">
    <w:pPr>
      <w:pStyle w:val="Footer"/>
      <w:tabs>
        <w:tab w:val="right" w:pos="8766"/>
      </w:tabs>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622CF" w14:textId="5A2E2F82" w:rsidR="00856ABB" w:rsidRPr="007765EE" w:rsidRDefault="00856ABB" w:rsidP="00E52C57">
    <w:pPr>
      <w:pStyle w:val="Footer"/>
      <w:jc w:val="right"/>
      <w:rPr>
        <w:rFonts w:ascii="Bodoni MT" w:hAnsi="Bodoni MT" w:cs="Times New Roman"/>
        <w:sz w:val="20"/>
        <w:szCs w:val="20"/>
        <w:lang w:val="id-ID"/>
      </w:rPr>
    </w:pPr>
  </w:p>
  <w:p w14:paraId="45823392" w14:textId="77777777" w:rsidR="00856ABB" w:rsidRDefault="00856ABB" w:rsidP="005043BD">
    <w:pPr>
      <w:pStyle w:val="Footer"/>
      <w:tabs>
        <w:tab w:val="left" w:pos="33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E0132" w14:textId="77777777" w:rsidR="0023715B" w:rsidRDefault="0023715B" w:rsidP="00236F12">
      <w:pPr>
        <w:spacing w:after="0" w:line="240" w:lineRule="auto"/>
      </w:pPr>
      <w:r>
        <w:separator/>
      </w:r>
    </w:p>
  </w:footnote>
  <w:footnote w:type="continuationSeparator" w:id="0">
    <w:p w14:paraId="54F23E9D" w14:textId="77777777" w:rsidR="0023715B" w:rsidRDefault="0023715B" w:rsidP="00236F12">
      <w:pPr>
        <w:spacing w:after="0" w:line="240" w:lineRule="auto"/>
      </w:pPr>
      <w:r>
        <w:continuationSeparator/>
      </w:r>
    </w:p>
  </w:footnote>
  <w:footnote w:id="1">
    <w:p w14:paraId="04A23DEC" w14:textId="466A503D" w:rsidR="00132381" w:rsidRPr="00750CCB" w:rsidRDefault="00132381" w:rsidP="00750CCB">
      <w:pPr>
        <w:pStyle w:val="FootnoteText"/>
        <w:ind w:firstLine="709"/>
        <w:jc w:val="both"/>
        <w:rPr>
          <w:rFonts w:ascii="Garamond" w:hAnsi="Garamond"/>
        </w:rPr>
      </w:pPr>
      <w:r w:rsidRPr="00750CCB">
        <w:rPr>
          <w:rStyle w:val="FootnoteReference"/>
          <w:rFonts w:ascii="Garamond" w:hAnsi="Garamond"/>
        </w:rPr>
        <w:footnoteRef/>
      </w:r>
      <w:r w:rsidRPr="00750CCB">
        <w:rPr>
          <w:rFonts w:ascii="Garamond" w:hAnsi="Garamond"/>
        </w:rPr>
        <w:t xml:space="preserve"> </w:t>
      </w:r>
      <w:r w:rsidRPr="00750CCB">
        <w:rPr>
          <w:rFonts w:ascii="Garamond" w:hAnsi="Garamond"/>
        </w:rPr>
        <w:fldChar w:fldCharType="begin" w:fldLock="1"/>
      </w:r>
      <w:r w:rsidR="00750CCB" w:rsidRPr="00750CCB">
        <w:rPr>
          <w:rFonts w:ascii="Garamond" w:hAnsi="Garamond"/>
        </w:rPr>
        <w:instrText>ADDIN CSL_CITATION {"citationItems":[{"id":"ITEM-1","itemData":{"DOI":"10.1016/j.ijme.2023.100861","ISSN":"14728117","author":[{"dropping-particle":"","family":"Olanya","given":"David Ross","non-dropping-particle":"","parse-names":false,"suffix":""},{"dropping-particle":"","family":"Lassen","given":"Inger","non-dropping-particle":"","parse-names":false,"suffix":""},{"dropping-particle":"","family":"Tabo","given":"Geoffrey Olok","non-dropping-particle":"","parse-names":false,"suffix":""},{"dropping-particle":"","family":"Zakaria","given":"Hannan Lassen","non-dropping-particle":"","parse-names":false,"suffix":""},{"dropping-particle":"","family":"Awacorach","given":"Judith","non-dropping-particle":"","parse-names":false,"suffix":""},{"dropping-particle":"","family":"Jensen","given":"Iben","non-dropping-particle":"","parse-names":false,"suffix":""}],"container-title":"The International Journal of Management Education","id":"ITEM-1","issue":"3","issued":{"date-parts":[["2023","11"]]},"page":"100861","title":"Exploring hidden curriculum in responsible management education: A narrative inquiry of students' lived experience in management and leadership training programmes","type":"article-journal","volume":"21"},"uris":["http://www.mendeley.com/documents/?uuid=120a72d5-a563-4463-ae17-6ead747f9e55","http://www.mendeley.com/documents/?uuid=0a4dac6b-52a5-41d1-890d-721cfaface0f"]}],"mendeley":{"formattedCitation":"David Ross Olanya et al., “Exploring Hidden Curriculum in Responsible Management Education: A Narrative Inquiry of Students’ Lived Experience in Management and Leadership Training Programmes,” &lt;i&gt;The International Journal of Management Education&lt;/i&gt; 21, no. 3 (November 2023): 100861, https://doi.org/10.1016/j.ijme.2023.100861.","plainTextFormattedCitation":"David Ross Olanya et al., “Exploring Hidden Curriculum in Responsible Management Education: A Narrative Inquiry of Students’ Lived Experience in Management and Leadership Training Programmes,” The International Journal of Management Education 21, no. 3 (November 2023): 100861, https://doi.org/10.1016/j.ijme.2023.100861.","previouslyFormattedCitation":"David Ross Olanya et al., “Exploring Hidden Curriculum in Responsible Management Education: A Narrative Inquiry of Students’ Lived Experience in Management and Leadership Training Programmes,” &lt;i&gt;The International Journal of Management Education&lt;/i&gt; 21, no. 3 (November 2023): 100861, https://doi.org/10.1016/j.ijme.2023.100861."},"properties":{"noteIndex":1},"schema":"https://github.com/citation-style-language/schema/raw/master/csl-citation.json"}</w:instrText>
      </w:r>
      <w:r w:rsidRPr="00750CCB">
        <w:rPr>
          <w:rFonts w:ascii="Garamond" w:hAnsi="Garamond"/>
        </w:rPr>
        <w:fldChar w:fldCharType="separate"/>
      </w:r>
      <w:r w:rsidRPr="00750CCB">
        <w:rPr>
          <w:rFonts w:ascii="Garamond" w:hAnsi="Garamond"/>
          <w:noProof/>
        </w:rPr>
        <w:t xml:space="preserve">David Ross Olanya et al., “Exploring Hidden Curriculum in Responsible Management Education: A Narrative Inquiry of Students’ Lived Experience in Management and Leadership Training Programmes,” </w:t>
      </w:r>
      <w:r w:rsidRPr="00750CCB">
        <w:rPr>
          <w:rFonts w:ascii="Garamond" w:hAnsi="Garamond"/>
          <w:i/>
          <w:noProof/>
        </w:rPr>
        <w:t>The International Journal of Management Education</w:t>
      </w:r>
      <w:r w:rsidRPr="00750CCB">
        <w:rPr>
          <w:rFonts w:ascii="Garamond" w:hAnsi="Garamond"/>
          <w:noProof/>
        </w:rPr>
        <w:t xml:space="preserve"> 21, no. 3 (November 2023): 100861, https://doi.org/10.1016/j.ijme.2023.100861.</w:t>
      </w:r>
      <w:r w:rsidRPr="00750CCB">
        <w:rPr>
          <w:rFonts w:ascii="Garamond" w:hAnsi="Garamond"/>
        </w:rPr>
        <w:fldChar w:fldCharType="end"/>
      </w:r>
    </w:p>
  </w:footnote>
  <w:footnote w:id="2">
    <w:p w14:paraId="5F2E4BD1" w14:textId="2B22FB44" w:rsidR="00132381" w:rsidRPr="00750CCB" w:rsidRDefault="00132381" w:rsidP="00750CCB">
      <w:pPr>
        <w:pStyle w:val="FootnoteText"/>
        <w:ind w:firstLine="709"/>
        <w:jc w:val="both"/>
        <w:rPr>
          <w:rFonts w:ascii="Garamond" w:hAnsi="Garamond"/>
        </w:rPr>
      </w:pPr>
      <w:r w:rsidRPr="00750CCB">
        <w:rPr>
          <w:rStyle w:val="FootnoteReference"/>
          <w:rFonts w:ascii="Garamond" w:hAnsi="Garamond"/>
        </w:rPr>
        <w:footnoteRef/>
      </w:r>
      <w:r w:rsidRPr="00750CCB">
        <w:rPr>
          <w:rFonts w:ascii="Garamond" w:hAnsi="Garamond"/>
        </w:rPr>
        <w:t xml:space="preserve"> </w:t>
      </w:r>
      <w:r w:rsidRPr="00750CCB">
        <w:rPr>
          <w:rFonts w:ascii="Garamond" w:hAnsi="Garamond"/>
        </w:rPr>
        <w:fldChar w:fldCharType="begin" w:fldLock="1"/>
      </w:r>
      <w:r w:rsidR="00750CCB" w:rsidRPr="00750CCB">
        <w:rPr>
          <w:rFonts w:ascii="Garamond" w:hAnsi="Garamond"/>
        </w:rPr>
        <w:instrText>ADDIN CSL_CITATION {"citationItems":[{"id":"ITEM-1","itemData":{"DOI":"10.1177/2347631119886418","ISSN":"2347-6311","abstract":"Things we can do because of learning are called outcomes of learning. Outcome based education (OBE) was propounded by William Spady in the 90s to bring the focus of formal education to what the students learn rather than what they were taught. OBE is a system of education giving priority to ends, purpose, accomplishments, and results. All decisions about the curriculum, assessment, and instruction are driven by the exit learning outcomes the students should display at the end of a program or a course. This paper presents a method of writing outcomes for General higher education programs. Outcomes for a higher education program are defined at three levels as program outcomes (POs), program specific outcomes (PSOs), and course outcomes (COs). The most important aspect of an outcome is that it should be observable and measurable. These are best written in a well-defined framework of taxonomy of learning. Bloom’s taxonomy of learning identifies three domains of learning: Cognitive, affective and psychomotor. Revised Bloom taxonomy of cognitive domain has two dimensions cognitive levels and knowledge categories. It is proposed that CO statements be written within a well-defined structure: Action, knowledge elements, conditions, and criteria. Tagging COs with POs, PSOs, cognitive levels and the number of classroom hours associated facilitates the computation of attainment of COs, POs, and PSOs.","author":[{"dropping-particle":"","family":"Rao","given":"N. J.","non-dropping-particle":"","parse-names":false,"suffix":""}],"container-title":"Higher Education for the Future","id":"ITEM-1","issue":"1","issued":{"date-parts":[["2020","1"]]},"page":"5-21","title":"Outcome-based Education: An Outline","type":"article-journal","volume":"7"},"uris":["http://www.mendeley.com/documents/?uuid=2086aa12-8a63-4af3-ad71-6116b5da30f1","http://www.mendeley.com/documents/?uuid=fe64a1cf-0cd0-4a58-be95-d797e49ced83"]}],"mendeley":{"formattedCitation":"N. J. Rao, “Outcome-Based Education: An Outline,” &lt;i&gt;Higher Education for the Future&lt;/i&gt; 7, no. 1 (January 2020): 5–21, https://doi.org/10.1177/2347631119886418.","plainTextFormattedCitation":"N. J. Rao, “Outcome-Based Education: An Outline,” Higher Education for the Future 7, no. 1 (January 2020): 5–21, https://doi.org/10.1177/2347631119886418.","previouslyFormattedCitation":"N. J. Rao, “Outcome-Based Education: An Outline,” &lt;i&gt;Higher Education for the Future&lt;/i&gt; 7, no. 1 (January 7, 2020): 5–21, https://doi.org/10.1177/2347631119886418."},"properties":{"noteIndex":2},"schema":"https://github.com/citation-style-language/schema/raw/master/csl-citation.json"}</w:instrText>
      </w:r>
      <w:r w:rsidRPr="00750CCB">
        <w:rPr>
          <w:rFonts w:ascii="Garamond" w:hAnsi="Garamond"/>
        </w:rPr>
        <w:fldChar w:fldCharType="separate"/>
      </w:r>
      <w:r w:rsidR="00750CCB" w:rsidRPr="00750CCB">
        <w:rPr>
          <w:rFonts w:ascii="Garamond" w:hAnsi="Garamond"/>
          <w:noProof/>
        </w:rPr>
        <w:t xml:space="preserve">N. J. Rao, “Outcome-Based Education: An Outline,” </w:t>
      </w:r>
      <w:r w:rsidR="00750CCB" w:rsidRPr="00750CCB">
        <w:rPr>
          <w:rFonts w:ascii="Garamond" w:hAnsi="Garamond"/>
          <w:i/>
          <w:noProof/>
        </w:rPr>
        <w:t>Higher Education for the Future</w:t>
      </w:r>
      <w:r w:rsidR="00750CCB" w:rsidRPr="00750CCB">
        <w:rPr>
          <w:rFonts w:ascii="Garamond" w:hAnsi="Garamond"/>
          <w:noProof/>
        </w:rPr>
        <w:t xml:space="preserve"> 7, no. 1 (January 2020): 5–21, https://doi.org/10.1177/2347631119886418.</w:t>
      </w:r>
      <w:r w:rsidRPr="00750CCB">
        <w:rPr>
          <w:rFonts w:ascii="Garamond" w:hAnsi="Garamond"/>
        </w:rPr>
        <w:fldChar w:fldCharType="end"/>
      </w:r>
    </w:p>
  </w:footnote>
  <w:footnote w:id="3">
    <w:p w14:paraId="23A06F74" w14:textId="5EA09445" w:rsidR="007F650D" w:rsidRPr="00750CCB" w:rsidRDefault="007F650D" w:rsidP="00750CCB">
      <w:pPr>
        <w:pStyle w:val="FootnoteText"/>
        <w:ind w:firstLine="709"/>
        <w:jc w:val="both"/>
        <w:rPr>
          <w:rFonts w:ascii="Garamond" w:hAnsi="Garamond"/>
        </w:rPr>
      </w:pPr>
      <w:r w:rsidRPr="00750CCB">
        <w:rPr>
          <w:rStyle w:val="FootnoteReference"/>
          <w:rFonts w:ascii="Garamond" w:hAnsi="Garamond"/>
        </w:rPr>
        <w:footnoteRef/>
      </w:r>
      <w:r w:rsidRPr="00750CCB">
        <w:rPr>
          <w:rFonts w:ascii="Garamond" w:hAnsi="Garamond"/>
        </w:rPr>
        <w:t xml:space="preserve"> </w:t>
      </w:r>
      <w:r w:rsidRPr="00750CCB">
        <w:rPr>
          <w:rFonts w:ascii="Garamond" w:hAnsi="Garamond"/>
        </w:rPr>
        <w:fldChar w:fldCharType="begin" w:fldLock="1"/>
      </w:r>
      <w:r w:rsidR="00750CCB" w:rsidRPr="00750CCB">
        <w:rPr>
          <w:rFonts w:ascii="Garamond" w:hAnsi="Garamond"/>
        </w:rPr>
        <w:instrText>ADDIN CSL_CITATION {"citationItems":[{"id":"ITEM-1","itemData":{"DOI":"10.1016/j.tate.2023.104064","ISSN":"0742051X","author":[{"dropping-particle":"","family":"Grecu","given":"Yuliya Vladimirovna","non-dropping-particle":"","parse-names":false,"suffix":""}],"container-title":"Teaching and Teacher Education","id":"ITEM-1","issued":{"date-parts":[["2023","4"]]},"page":"104064","title":"Differentiated instruction: Curriculum and resources provide a roadmap to help English teachers meet students’ needs","type":"article-journal","volume":"125"},"uris":["http://www.mendeley.com/documents/?uuid=6c5ceaad-58ea-4f2b-9e6d-83153520698f","http://www.mendeley.com/documents/?uuid=66965da9-5041-4279-8576-e43cf3067edd"]}],"mendeley":{"formattedCitation":"Yuliya Vladimirovna Grecu, “Differentiated Instruction: Curriculum and Resources Provide a Roadmap to Help English Teachers Meet Students’ Needs,” &lt;i&gt;Teaching and Teacher Education&lt;/i&gt; 125 (April 2023): 104064, https://doi.org/10.1016/j.tate.2023.104064.","plainTextFormattedCitation":"Yuliya Vladimirovna Grecu, “Differentiated Instruction: Curriculum and Resources Provide a Roadmap to Help English Teachers Meet Students’ Needs,” Teaching and Teacher Education 125 (April 2023): 104064, https://doi.org/10.1016/j.tate.2023.104064.","previouslyFormattedCitation":"Yuliya Vladimirovna Grecu, “Differentiated Instruction: Curriculum and Resources Provide a Roadmap to Help English Teachers Meet Students’ Needs,” &lt;i&gt;Teaching and Teacher Education&lt;/i&gt; 125 (April 2023): 104064, https://doi.org/10.1016/j.tate.2023.104064."},"properties":{"noteIndex":3},"schema":"https://github.com/citation-style-language/schema/raw/master/csl-citation.json"}</w:instrText>
      </w:r>
      <w:r w:rsidRPr="00750CCB">
        <w:rPr>
          <w:rFonts w:ascii="Garamond" w:hAnsi="Garamond"/>
        </w:rPr>
        <w:fldChar w:fldCharType="separate"/>
      </w:r>
      <w:r w:rsidRPr="00750CCB">
        <w:rPr>
          <w:rFonts w:ascii="Garamond" w:hAnsi="Garamond"/>
          <w:noProof/>
        </w:rPr>
        <w:t xml:space="preserve">Yuliya Vladimirovna Grecu, “Differentiated Instruction: Curriculum and Resources Provide a Roadmap to Help English Teachers Meet Students’ Needs,” </w:t>
      </w:r>
      <w:r w:rsidRPr="00750CCB">
        <w:rPr>
          <w:rFonts w:ascii="Garamond" w:hAnsi="Garamond"/>
          <w:i/>
          <w:noProof/>
        </w:rPr>
        <w:t>Teaching and Teacher Education</w:t>
      </w:r>
      <w:r w:rsidRPr="00750CCB">
        <w:rPr>
          <w:rFonts w:ascii="Garamond" w:hAnsi="Garamond"/>
          <w:noProof/>
        </w:rPr>
        <w:t xml:space="preserve"> 125 (April 2023): 104064, https://doi.org/10.1016/j.tate.2023.104064.</w:t>
      </w:r>
      <w:r w:rsidRPr="00750CCB">
        <w:rPr>
          <w:rFonts w:ascii="Garamond" w:hAnsi="Garamond"/>
        </w:rPr>
        <w:fldChar w:fldCharType="end"/>
      </w:r>
    </w:p>
  </w:footnote>
  <w:footnote w:id="4">
    <w:p w14:paraId="5CE0828A" w14:textId="68C9D839" w:rsidR="007F650D" w:rsidRPr="00750CCB" w:rsidRDefault="007F650D" w:rsidP="00750CCB">
      <w:pPr>
        <w:pStyle w:val="FootnoteText"/>
        <w:ind w:firstLine="709"/>
        <w:jc w:val="both"/>
        <w:rPr>
          <w:rFonts w:ascii="Garamond" w:hAnsi="Garamond"/>
        </w:rPr>
      </w:pPr>
      <w:r w:rsidRPr="00750CCB">
        <w:rPr>
          <w:rStyle w:val="FootnoteReference"/>
          <w:rFonts w:ascii="Garamond" w:hAnsi="Garamond"/>
        </w:rPr>
        <w:footnoteRef/>
      </w:r>
      <w:r w:rsidRPr="00750CCB">
        <w:rPr>
          <w:rFonts w:ascii="Garamond" w:hAnsi="Garamond"/>
        </w:rPr>
        <w:t xml:space="preserve"> </w:t>
      </w:r>
      <w:r w:rsidRPr="00750CCB">
        <w:rPr>
          <w:rFonts w:ascii="Garamond" w:hAnsi="Garamond"/>
        </w:rPr>
        <w:fldChar w:fldCharType="begin" w:fldLock="1"/>
      </w:r>
      <w:r w:rsidR="00750CCB" w:rsidRPr="00750CCB">
        <w:rPr>
          <w:rFonts w:ascii="Garamond" w:hAnsi="Garamond"/>
        </w:rPr>
        <w:instrText>ADDIN CSL_CITATION {"citationItems":[{"id":"ITEM-1","itemData":{"DOI":"10.14710/ijee.1.2.122-129","ISSN":"25409808","abstract":"AbstractOutcome-Based education is a performance-based approach for the curriculum development, a future-oriented learner-centered ‘Empowerment Paradigm’ that empowers and endorses all learners with future success. It is an influential and tempting way of restructuring and reorganizing engineering education. Washington Accord, an International accreditation convention, an independent agreement between signatory organizations to provide an external accreditation to undergraduate engineering programs. The accredited engineering programs that qualify an engineer to enter into the practice of professional engineers are equally recognized and acknowledged by other signatory countries and responsible organizations Pakistan Engineering Council (PEC) is a full signatory to the Washington Accord and a regulatory organization for the accreditation of engineering programs in Pakistan. To keep up the permanent membership status, it is the requirement of PEC to implement Outcome-Based in engineering degree awarding institutes in Pakistan. The main aim of Outcome-Based education in engineering education is to empower engineering students with the essential characteristics required to switch themselves into the engineering profession as a global and professional engineer. The focus of current research is to explore the philosophical and theoretical underpinnings of Outcome-Based education. Moreover, to unveil the current challenges in the implementation of OBE framework in engineering education.","author":[{"dropping-particle":"","family":"Shaheen","given":"Saima","non-dropping-particle":"","parse-names":false,"suffix":""}],"container-title":"International Journal of Engineering Education","id":"ITEM-1","issue":"2","issued":{"date-parts":[["2019","12"]]},"page":"122-129","title":"Theoretical Perspectives and Current Challenges of Outcome-Based Education Framework","type":"article-journal","volume":"1"},"uris":["http://www.mendeley.com/documents/?uuid=c4f089ea-f3e6-4a88-8635-c68279b47a09","http://www.mendeley.com/documents/?uuid=f55991a0-5156-42e5-976b-b208e997ba8b"]}],"mendeley":{"formattedCitation":"Saima Shaheen, “Theoretical Perspectives and Current Challenges of Outcome-Based Education Framework,” &lt;i&gt;International Journal of Engineering Education&lt;/i&gt; 1, no. 2 (December 2019): 122–29, https://doi.org/10.14710/ijee.1.2.122-129.","plainTextFormattedCitation":"Saima Shaheen, “Theoretical Perspectives and Current Challenges of Outcome-Based Education Framework,” International Journal of Engineering Education 1, no. 2 (December 2019): 122–29, https://doi.org/10.14710/ijee.1.2.122-129.","previouslyFormattedCitation":"Saima Shaheen, “Theoretical Perspectives and Current Challenges of Outcome-Based Education Framework,” &lt;i&gt;International Journal of Engineering Education&lt;/i&gt; 1, no. 2 (December 15, 2019): 122–29, https://doi.org/10.14710/ijee.1.2.122-129."},"properties":{"noteIndex":4},"schema":"https://github.com/citation-style-language/schema/raw/master/csl-citation.json"}</w:instrText>
      </w:r>
      <w:r w:rsidRPr="00750CCB">
        <w:rPr>
          <w:rFonts w:ascii="Garamond" w:hAnsi="Garamond"/>
        </w:rPr>
        <w:fldChar w:fldCharType="separate"/>
      </w:r>
      <w:r w:rsidR="00750CCB" w:rsidRPr="00750CCB">
        <w:rPr>
          <w:rFonts w:ascii="Garamond" w:hAnsi="Garamond"/>
          <w:noProof/>
        </w:rPr>
        <w:t xml:space="preserve">Saima Shaheen, “Theoretical Perspectives and Current Challenges of Outcome-Based Education Framework,” </w:t>
      </w:r>
      <w:r w:rsidR="00750CCB" w:rsidRPr="00750CCB">
        <w:rPr>
          <w:rFonts w:ascii="Garamond" w:hAnsi="Garamond"/>
          <w:i/>
          <w:noProof/>
        </w:rPr>
        <w:t>International Journal of Engineering Education</w:t>
      </w:r>
      <w:r w:rsidR="00750CCB" w:rsidRPr="00750CCB">
        <w:rPr>
          <w:rFonts w:ascii="Garamond" w:hAnsi="Garamond"/>
          <w:noProof/>
        </w:rPr>
        <w:t xml:space="preserve"> 1, no. 2 (December 2019): 122–29, https://doi.org/10.14710/ijee.1.2.122-129.</w:t>
      </w:r>
      <w:r w:rsidRPr="00750CCB">
        <w:rPr>
          <w:rFonts w:ascii="Garamond" w:hAnsi="Garamond"/>
        </w:rPr>
        <w:fldChar w:fldCharType="end"/>
      </w:r>
    </w:p>
  </w:footnote>
  <w:footnote w:id="5">
    <w:p w14:paraId="2BFCDA53" w14:textId="0CC7C445" w:rsidR="007F650D" w:rsidRDefault="007F650D" w:rsidP="00750CCB">
      <w:pPr>
        <w:pStyle w:val="FootnoteText"/>
        <w:ind w:firstLine="709"/>
        <w:jc w:val="both"/>
      </w:pPr>
      <w:r w:rsidRPr="00750CCB">
        <w:rPr>
          <w:rStyle w:val="FootnoteReference"/>
          <w:rFonts w:ascii="Garamond" w:hAnsi="Garamond"/>
        </w:rPr>
        <w:footnoteRef/>
      </w:r>
      <w:r w:rsidRPr="00750CCB">
        <w:rPr>
          <w:rFonts w:ascii="Garamond" w:hAnsi="Garamond"/>
        </w:rPr>
        <w:t xml:space="preserve"> </w:t>
      </w:r>
      <w:r w:rsidRPr="00750CCB">
        <w:rPr>
          <w:rFonts w:ascii="Garamond" w:hAnsi="Garamond"/>
        </w:rPr>
        <w:fldChar w:fldCharType="begin" w:fldLock="1"/>
      </w:r>
      <w:r w:rsidR="00750CCB" w:rsidRPr="00750CCB">
        <w:rPr>
          <w:rFonts w:ascii="Garamond" w:hAnsi="Garamond"/>
        </w:rPr>
        <w:instrText>ADDIN CSL_CITATION {"citationItems":[{"id":"ITEM-1","itemData":{"DOI":"10.32890/mjli2020.17.2.9","ISSN":"1675-8110","abstract":"Purpose â€“ Given the importance of quality assurance and enhancement of curriculum in a higher education institution, it is vital to have a systematic process to measure studentsâ€™ performance objectively and effectively for continuous improvement in the programme/curriculum. The purpose of this study is to analyse the process of setting up an Outcome-Based Education (OBE) system in a business school of a private higher education institution in Malaysia. The importance and challenges of the OBE system are discussed, while some recommendations for common issues are suggested. Methodology â€“ Document analyses and observations were conducted on ten undergraduate programmes in the business school of a private higher education institution, from 2015 to 2019. These mechanisms are to assess and discuss the processes needed in implementing OBE; while the importance and challenges of having an OBE system in the business school are included. Findings â€“ To have a smooth-running process of implementing an OBE system, proper planning needs to be in place. Data from the OBE system and its utilisation are essential to ensure continuous quality improvement to the curriculum and to give assurance to relevant stakeholders about the quality of graduates. There are several steps that are discussed in this paper to give pointers and guidance to other education institutions in setting up of the OBE process. However, it is undeniable that investment of time and effort is needed to ensure the smooth-running of the OBE establishment and maintenance. Significance â€“ This study is essential to provide a guideline to relevant parties in setting up an OBE system in education institutions. An OBE system is needed to measure studentsâ€™ performance objectively and effectively while enriching studentsâ€™ learning experiences. This study will give pointers to the management of the education institution, policy makers, accrediting bodies and academics on implementing an OBE system in the education institutions.","author":[{"dropping-particle":"","family":"Sun","given":"Poi Hun","non-dropping-particle":"","parse-names":false,"suffix":""},{"dropping-particle":"","family":"Lee","given":"Sek Yan","non-dropping-particle":"","parse-names":false,"suffix":""}],"container-title":"Malaysian Journal of Learning and Instruction","id":"ITEM-1","issued":{"date-parts":[["2020"]]},"title":"THE IMPORTANCE AND CHALLENGES OF OUTCOME-BASED EDUCATION â€“ A CASE STUDY IN A PRIVATE HIGHER EDUCATION INSTITUTION","type":"article-journal","volume":"17"},"uris":["http://www.mendeley.com/documents/?uuid=6b518d6e-ee95-4a64-8807-f56d53ed0281","http://www.mendeley.com/documents/?uuid=269c3e30-c920-4326-b134-1ecb5e7c1fa9"]}],"mendeley":{"formattedCitation":"Poi Hun Sun and Sek Yan Lee, “THE IMPORTANCE AND CHALLENGES OF OUTCOME-BASED EDUCATION Â€“ A CASE STUDY IN A PRIVATE HIGHER EDUCATION INSTITUTION,” &lt;i&gt;Malaysian Journal of Learning and Instruction&lt;/i&gt; 17 (2020), https://doi.org/10.32890/mjli2020.17.2.9.","plainTextFormattedCitation":"Poi Hun Sun and Sek Yan Lee, “THE IMPORTANCE AND CHALLENGES OF OUTCOME-BASED EDUCATION Â€“ A CASE STUDY IN A PRIVATE HIGHER EDUCATION INSTITUTION,” Malaysian Journal of Learning and Instruction 17 (2020), https://doi.org/10.32890/mjli2020.17.2.9.","previouslyFormattedCitation":"Poi Hun Sun and Sek Yan Lee, “THE IMPORTANCE AND CHALLENGES OF OUTCOME-BASED EDUCATION Â€“ A CASE STUDY IN A PRIVATE HIGHER EDUCATION INSTITUTION,” &lt;i&gt;Malaysian Journal of Learning and Instruction&lt;/i&gt; 17 (2020), https://doi.org/10.32890/mjli2020.17.2.9."},"properties":{"noteIndex":5},"schema":"https://github.com/citation-style-language/schema/raw/master/csl-citation.json"}</w:instrText>
      </w:r>
      <w:r w:rsidRPr="00750CCB">
        <w:rPr>
          <w:rFonts w:ascii="Garamond" w:hAnsi="Garamond"/>
        </w:rPr>
        <w:fldChar w:fldCharType="separate"/>
      </w:r>
      <w:r w:rsidRPr="00750CCB">
        <w:rPr>
          <w:rFonts w:ascii="Garamond" w:hAnsi="Garamond"/>
          <w:noProof/>
        </w:rPr>
        <w:t xml:space="preserve">Poi Hun Sun and Sek Yan Lee, “THE IMPORTANCE AND CHALLENGES OF OUTCOME-BASED EDUCATION Â€“ A CASE STUDY IN A PRIVATE HIGHER EDUCATION INSTITUTION,” </w:t>
      </w:r>
      <w:r w:rsidRPr="00750CCB">
        <w:rPr>
          <w:rFonts w:ascii="Garamond" w:hAnsi="Garamond"/>
          <w:i/>
          <w:noProof/>
        </w:rPr>
        <w:t>Malaysian Journal of Learning and Instruction</w:t>
      </w:r>
      <w:r w:rsidRPr="00750CCB">
        <w:rPr>
          <w:rFonts w:ascii="Garamond" w:hAnsi="Garamond"/>
          <w:noProof/>
        </w:rPr>
        <w:t xml:space="preserve"> 17 (2020), https://doi.org/10.32890/mjli2020.17.2.9.</w:t>
      </w:r>
      <w:r w:rsidRPr="00750CCB">
        <w:rPr>
          <w:rFonts w:ascii="Garamond" w:hAnsi="Garamond"/>
        </w:rPr>
        <w:fldChar w:fldCharType="end"/>
      </w:r>
    </w:p>
  </w:footnote>
  <w:footnote w:id="6">
    <w:p w14:paraId="7E2610FF" w14:textId="185C0C70" w:rsidR="00692D69" w:rsidRPr="00750CCB" w:rsidRDefault="00692D69" w:rsidP="00750CCB">
      <w:pPr>
        <w:pStyle w:val="FootnoteText"/>
        <w:ind w:firstLine="709"/>
        <w:jc w:val="both"/>
        <w:rPr>
          <w:rFonts w:ascii="Garamond" w:hAnsi="Garamond"/>
        </w:rPr>
      </w:pPr>
      <w:r w:rsidRPr="00750CCB">
        <w:rPr>
          <w:rStyle w:val="FootnoteReference"/>
          <w:rFonts w:ascii="Garamond" w:hAnsi="Garamond"/>
        </w:rPr>
        <w:footnoteRef/>
      </w:r>
      <w:r w:rsidRPr="00750CCB">
        <w:rPr>
          <w:rFonts w:ascii="Garamond" w:hAnsi="Garamond"/>
        </w:rPr>
        <w:t xml:space="preserve"> </w:t>
      </w:r>
      <w:r w:rsidRPr="00750CCB">
        <w:rPr>
          <w:rFonts w:ascii="Garamond" w:hAnsi="Garamond"/>
        </w:rPr>
        <w:fldChar w:fldCharType="begin" w:fldLock="1"/>
      </w:r>
      <w:r w:rsidR="00750CCB" w:rsidRPr="00750CCB">
        <w:rPr>
          <w:rFonts w:ascii="Garamond" w:hAnsi="Garamond"/>
        </w:rPr>
        <w:instrText>ADDIN CSL_CITATION {"citationItems":[{"id":"ITEM-1","itemData":{"author":[{"dropping-particle":"","family":"Kompas","given":"","non-dropping-particle":"","parse-names":false,"suffix":""}],"id":"ITEM-1","issued":{"date-parts":[["2023"]]},"title":"Perubahan Kurikulum Indonesia Butuh ”Committee of The Future”","type":"article-newspaper"},"uris":["http://www.mendeley.com/documents/?uuid=95fa7310-bb8f-4de1-9d06-39f3e11aba64","http://www.mendeley.com/documents/?uuid=3c0564a3-86a5-40e5-8570-903222a8d4ac"]}],"mendeley":{"formattedCitation":"Kompas, “Perubahan Kurikulum Indonesia Butuh ”Committee of The Future”,” 2023, https://www.kompas.id/baca/opini/2023/01/15/perubahan-kurikulum-indonesia-butuh-committee-of-the-future.","plainTextFormattedCitation":"Kompas, “Perubahan Kurikulum Indonesia Butuh ”Committee of The Future”,” 2023, https://www.kompas.id/baca/opini/2023/01/15/perubahan-kurikulum-indonesia-butuh-committee-of-the-future.","previouslyFormattedCitation":"Kompas, “Perubahan Kurikulum Indonesia Butuh ”Committee of The Future”,” 2023."},"properties":{"noteIndex":6},"schema":"https://github.com/citation-style-language/schema/raw/master/csl-citation.json"}</w:instrText>
      </w:r>
      <w:r w:rsidRPr="00750CCB">
        <w:rPr>
          <w:rFonts w:ascii="Garamond" w:hAnsi="Garamond"/>
        </w:rPr>
        <w:fldChar w:fldCharType="separate"/>
      </w:r>
      <w:r w:rsidR="00750CCB" w:rsidRPr="00750CCB">
        <w:rPr>
          <w:rFonts w:ascii="Garamond" w:hAnsi="Garamond"/>
          <w:noProof/>
        </w:rPr>
        <w:t>Kompas, “Perubahan Kurikulum Indonesia Butuh ”Committee of The Future”,” 2023, https://www.kompas.id/baca/opini/2023/01/15/perubahan-kurikulum-indonesia-butuh-committee-of-the-future.</w:t>
      </w:r>
      <w:r w:rsidRPr="00750CCB">
        <w:rPr>
          <w:rFonts w:ascii="Garamond" w:hAnsi="Garamond"/>
        </w:rPr>
        <w:fldChar w:fldCharType="end"/>
      </w:r>
    </w:p>
  </w:footnote>
  <w:footnote w:id="7">
    <w:p w14:paraId="0F9BE8FB" w14:textId="695EE172" w:rsidR="00692D69" w:rsidRPr="00750CCB" w:rsidRDefault="00692D69" w:rsidP="00750CCB">
      <w:pPr>
        <w:pStyle w:val="FootnoteText"/>
        <w:ind w:firstLine="709"/>
        <w:jc w:val="both"/>
        <w:rPr>
          <w:rFonts w:ascii="Garamond" w:hAnsi="Garamond"/>
        </w:rPr>
      </w:pPr>
      <w:r w:rsidRPr="00750CCB">
        <w:rPr>
          <w:rStyle w:val="FootnoteReference"/>
          <w:rFonts w:ascii="Garamond" w:hAnsi="Garamond"/>
        </w:rPr>
        <w:footnoteRef/>
      </w:r>
      <w:r w:rsidRPr="00750CCB">
        <w:rPr>
          <w:rFonts w:ascii="Garamond" w:hAnsi="Garamond"/>
        </w:rPr>
        <w:t xml:space="preserve"> </w:t>
      </w:r>
      <w:r w:rsidRPr="00750CCB">
        <w:rPr>
          <w:rFonts w:ascii="Garamond" w:hAnsi="Garamond"/>
        </w:rPr>
        <w:fldChar w:fldCharType="begin" w:fldLock="1"/>
      </w:r>
      <w:r w:rsidR="007F650D" w:rsidRPr="00750CCB">
        <w:rPr>
          <w:rFonts w:ascii="Garamond" w:hAnsi="Garamond"/>
        </w:rPr>
        <w:instrText>ADDIN CSL_CITATION {"citationItems":[{"id":"ITEM-1","itemData":{"author":[{"dropping-particle":"","family":"Rahmawati","given":"Rici","non-dropping-particle":"","parse-names":false,"suffix":""},{"dropping-particle":"","family":"Mawadda","given":"Thahara Syafatul","non-dropping-particle":"","parse-names":false,"suffix":""},{"dropping-particle":"","family":"Widiyanni","given":"","non-dropping-particle":"","parse-names":false,"suffix":""},{"dropping-particle":"","family":"Isanaya","given":"Deby","non-dropping-particle":"","parse-names":false,"suffix":""},{"dropping-particle":"","family":"Farwati","given":"Ratna","non-dropping-particle":"","parse-names":false,"suffix":""}],"container-title":"Prosiding Seminar Nasional Pendidikan Kimia","id":"ITEM-1","issued":{"date-parts":[["2022"]]},"page":"52-60","publisher-place":"Palembang","title":"Respon guru kimia terhadap kurikulum prototipe","type":"paper-conference"},"uris":["http://www.mendeley.com/documents/?uuid=921aba27-567e-4701-a1ef-821fb8a02690","http://www.mendeley.com/documents/?uuid=7d23f47c-5e73-46d2-88da-eca1ec7ffa59","http://www.mendeley.com/documents/?uuid=1383ee67-cac5-4f92-8fa9-bd7367b855a4","http://www.mendeley.com/documents/?uuid=a642d7ce-6965-459d-b23c-3151f6237095"]}],"mendeley":{"formattedCitation":"Rici Rahmawati et al., “Respon Guru Kimia Terhadap Kurikulum Prototipe,” in &lt;i&gt;Prosiding Seminar Nasional Pendidikan Kimia&lt;/i&gt; (Palembang, 2022), 52–60.","plainTextFormattedCitation":"Rici Rahmawati et al., “Respon Guru Kimia Terhadap Kurikulum Prototipe,” in Prosiding Seminar Nasional Pendidikan Kimia (Palembang, 2022), 52–60.","previouslyFormattedCitation":"Rici Rahmawati et al., “Respon Guru Kimia Terhadap Kurikulum Prototipe,” in &lt;i&gt;Prosiding Seminar Nasional Pendidikan Kimia&lt;/i&gt; (Palembang, 2022), 52–60."},"properties":{"noteIndex":7},"schema":"https://github.com/citation-style-language/schema/raw/master/csl-citation.json"}</w:instrText>
      </w:r>
      <w:r w:rsidRPr="00750CCB">
        <w:rPr>
          <w:rFonts w:ascii="Garamond" w:hAnsi="Garamond"/>
        </w:rPr>
        <w:fldChar w:fldCharType="separate"/>
      </w:r>
      <w:r w:rsidRPr="00750CCB">
        <w:rPr>
          <w:rFonts w:ascii="Garamond" w:hAnsi="Garamond"/>
          <w:noProof/>
        </w:rPr>
        <w:t xml:space="preserve">Rici Rahmawati et al., “Respon Guru Kimia Terhadap Kurikulum Prototipe,” in </w:t>
      </w:r>
      <w:r w:rsidRPr="00750CCB">
        <w:rPr>
          <w:rFonts w:ascii="Garamond" w:hAnsi="Garamond"/>
          <w:i/>
          <w:noProof/>
        </w:rPr>
        <w:t>Prosiding Seminar Nasional Pendidikan Kimia</w:t>
      </w:r>
      <w:r w:rsidRPr="00750CCB">
        <w:rPr>
          <w:rFonts w:ascii="Garamond" w:hAnsi="Garamond"/>
          <w:noProof/>
        </w:rPr>
        <w:t xml:space="preserve"> (Palembang, 2022), 52–60.</w:t>
      </w:r>
      <w:r w:rsidRPr="00750CCB">
        <w:rPr>
          <w:rFonts w:ascii="Garamond" w:hAnsi="Garamond"/>
        </w:rPr>
        <w:fldChar w:fldCharType="end"/>
      </w:r>
    </w:p>
  </w:footnote>
  <w:footnote w:id="8">
    <w:p w14:paraId="245F8572" w14:textId="2280FAA6" w:rsidR="00692D69" w:rsidRPr="00750CCB" w:rsidRDefault="00692D69" w:rsidP="00750CCB">
      <w:pPr>
        <w:pStyle w:val="FootnoteText"/>
        <w:ind w:firstLine="709"/>
        <w:jc w:val="both"/>
        <w:rPr>
          <w:rFonts w:ascii="Garamond" w:hAnsi="Garamond"/>
        </w:rPr>
      </w:pPr>
      <w:r w:rsidRPr="00750CCB">
        <w:rPr>
          <w:rStyle w:val="FootnoteReference"/>
          <w:rFonts w:ascii="Garamond" w:hAnsi="Garamond"/>
        </w:rPr>
        <w:footnoteRef/>
      </w:r>
      <w:r w:rsidRPr="00750CCB">
        <w:rPr>
          <w:rFonts w:ascii="Garamond" w:hAnsi="Garamond"/>
        </w:rPr>
        <w:t xml:space="preserve"> </w:t>
      </w:r>
      <w:r w:rsidRPr="00750CCB">
        <w:rPr>
          <w:rFonts w:ascii="Garamond" w:hAnsi="Garamond"/>
        </w:rPr>
        <w:fldChar w:fldCharType="begin" w:fldLock="1"/>
      </w:r>
      <w:r w:rsidR="007F650D" w:rsidRPr="00750CCB">
        <w:rPr>
          <w:rFonts w:ascii="Garamond" w:hAnsi="Garamond"/>
        </w:rPr>
        <w:instrText>ADDIN CSL_CITATION {"citationItems":[{"id":"ITEM-1","itemData":{"DOI":"10.20527/tmkm.v1i1.428","author":[{"dropping-particle":"","family":"Ihsan","given":"Muhammad","non-dropping-particle":"","parse-names":false,"suffix":""}],"collection-title":"1","id":"ITEM-1","issued":{"date-parts":[["2022"]]},"number":"1","number-of-pages":"37-46","publisher-place":"Banjarmasin","title":"Kesiapan guru terhadap implementasi kurikulum merdeka belajar","type":"report"},"uris":["http://www.mendeley.com/documents/?uuid=05326e8e-9c63-426b-ab4c-39474f1e7e70","http://www.mendeley.com/documents/?uuid=905db4bc-6cc2-4dfc-b046-1820a95dd8e0","http://www.mendeley.com/documents/?uuid=99960e45-6892-4219-8dd1-de3078ebdd93","http://www.mendeley.com/documents/?uuid=9da03421-5fe7-4ce9-bdc9-68a698705536"]}],"mendeley":{"formattedCitation":"Muhammad Ihsan, “Kesiapan Guru Terhadap Implementasi Kurikulum Merdeka Belajar,” 1 (Banjarmasin, 2022), https://doi.org/10.20527/tmkm.v1i1.428.","plainTextFormattedCitation":"Muhammad Ihsan, “Kesiapan Guru Terhadap Implementasi Kurikulum Merdeka Belajar,” 1 (Banjarmasin, 2022), https://doi.org/10.20527/tmkm.v1i1.428.","previouslyFormattedCitation":"Muhammad Ihsan, “Kesiapan Guru Terhadap Implementasi Kurikulum Merdeka Belajar,” 1 (Banjarmasin, 2022), https://doi.org/10.20527/tmkm.v1i1.428."},"properties":{"noteIndex":8},"schema":"https://github.com/citation-style-language/schema/raw/master/csl-citation.json"}</w:instrText>
      </w:r>
      <w:r w:rsidRPr="00750CCB">
        <w:rPr>
          <w:rFonts w:ascii="Garamond" w:hAnsi="Garamond"/>
        </w:rPr>
        <w:fldChar w:fldCharType="separate"/>
      </w:r>
      <w:r w:rsidRPr="00750CCB">
        <w:rPr>
          <w:rFonts w:ascii="Garamond" w:hAnsi="Garamond"/>
          <w:noProof/>
        </w:rPr>
        <w:t>Muhammad Ihsan, “Kesiapan Guru Terhadap Implementasi Kurikulum Merdeka Belajar,” 1 (Banjarmasin, 2022), https://doi.org/10.20527/tmkm.v1i1.428.</w:t>
      </w:r>
      <w:r w:rsidRPr="00750CCB">
        <w:rPr>
          <w:rFonts w:ascii="Garamond" w:hAnsi="Garamond"/>
        </w:rPr>
        <w:fldChar w:fldCharType="end"/>
      </w:r>
    </w:p>
  </w:footnote>
  <w:footnote w:id="9">
    <w:p w14:paraId="043ABCDF" w14:textId="61AC7432" w:rsidR="00692D69" w:rsidRPr="00750CCB" w:rsidRDefault="00692D69" w:rsidP="00750CCB">
      <w:pPr>
        <w:pStyle w:val="FootnoteText"/>
        <w:ind w:firstLine="709"/>
        <w:jc w:val="both"/>
        <w:rPr>
          <w:rFonts w:ascii="Garamond" w:hAnsi="Garamond"/>
        </w:rPr>
      </w:pPr>
      <w:r w:rsidRPr="00750CCB">
        <w:rPr>
          <w:rStyle w:val="FootnoteReference"/>
          <w:rFonts w:ascii="Garamond" w:hAnsi="Garamond"/>
        </w:rPr>
        <w:footnoteRef/>
      </w:r>
      <w:r w:rsidRPr="00750CCB">
        <w:rPr>
          <w:rFonts w:ascii="Garamond" w:hAnsi="Garamond"/>
        </w:rPr>
        <w:t xml:space="preserve"> </w:t>
      </w:r>
      <w:r w:rsidRPr="00750CCB">
        <w:rPr>
          <w:rFonts w:ascii="Garamond" w:hAnsi="Garamond"/>
        </w:rPr>
        <w:fldChar w:fldCharType="begin" w:fldLock="1"/>
      </w:r>
      <w:r w:rsidR="007F650D" w:rsidRPr="00750CCB">
        <w:rPr>
          <w:rFonts w:ascii="Garamond" w:hAnsi="Garamond"/>
        </w:rPr>
        <w:instrText>ADDIN CSL_CITATION {"citationItems":[{"id":"ITEM-1","itemData":{"DOI":"10.26618/equilibrium.v10i2.7262","ISSN":"2477-0221","abstract":"To determine the readiness of principals and teachers for the prototype curriculum, to find out the responses of principals and teachers to the prototype curriculum. This study adheres to the data source which was carried out by purposive sampling. In this study, the research procedure carried out was divided into three stages, namely the pre-field stage, the working stage, and the data analysis stage. Based on the results of the survey, the principals and teachers from several schools we surveyed, said that if the official prototype curriculum was used as the newest curriculum, they were ready because in the Education unit there must be periodic changes and revisions to the curriculum according to technological developments and the needs of developmental conditions and conditions. the progress of education today and also because the curriculum is a component of the guideline of educational goals that must be owned by every educational unit because education must continue to develop at all times so that there are the latest innovations in learning.","author":[{"dropping-particle":"","family":"Rosmana","given":"Primanita Sholihah","non-dropping-particle":"","parse-names":false,"suffix":""},{"dropping-particle":"","family":"Iskandar","given":"Sofyan","non-dropping-particle":"","parse-names":false,"suffix":""},{"dropping-particle":"","family":"Annisa","given":"Nur","non-dropping-particle":"","parse-names":false,"suffix":""},{"dropping-particle":"","family":"Nurfadilah","given":"Arini","non-dropping-particle":"","parse-names":false,"suffix":""},{"dropping-particle":"","family":"Maharani","given":"Cantika","non-dropping-particle":"","parse-names":false,"suffix":""}],"container-title":"Equilibrium: Jurnal Pendidikan","id":"ITEM-1","issue":"2","issued":{"date-parts":[["2022"]]},"page":"175-184","title":"Kesiapan sekolah dasar dalam menerapkan kurikulum prototipe untuk menciptakan generasi yang kreatif dan inovatif","type":"article-journal","volume":"10"},"uris":["http://www.mendeley.com/documents/?uuid=f8fffe87-37bc-46ed-9cdb-8ac614488782","http://www.mendeley.com/documents/?uuid=6d24854b-a27e-4736-987a-c71baff7de8f","http://www.mendeley.com/documents/?uuid=b0754ee5-94c0-4014-ace8-a39f4191d2ce","http://www.mendeley.com/documents/?uuid=096c7779-ccac-4ac4-aa1d-0556c3a38313"]}],"mendeley":{"formattedCitation":"Primanita Sholihah Rosmana et al., “Kesiapan Sekolah Dasar Dalam Menerapkan Kurikulum Prototipe Untuk Menciptakan Generasi Yang Kreatif Dan Inovatif,” &lt;i&gt;Equilibrium: Jurnal Pendidikan&lt;/i&gt; 10, no. 2 (2022): 175–84, https://doi.org/10.26618/equilibrium.v10i2.7262.","plainTextFormattedCitation":"Primanita Sholihah Rosmana et al., “Kesiapan Sekolah Dasar Dalam Menerapkan Kurikulum Prototipe Untuk Menciptakan Generasi Yang Kreatif Dan Inovatif,” Equilibrium: Jurnal Pendidikan 10, no. 2 (2022): 175–84, https://doi.org/10.26618/equilibrium.v10i2.7262.","previouslyFormattedCitation":"Primanita Sholihah Rosmana et al., “Kesiapan Sekolah Dasar Dalam Menerapkan Kurikulum Prototipe Untuk Menciptakan Generasi Yang Kreatif Dan Inovatif,” &lt;i&gt;Equilibrium: Jurnal Pendidikan&lt;/i&gt; 10, no. 2 (2022): 175–84, https://doi.org/10.26618/equilibrium.v10i2.7262."},"properties":{"noteIndex":9},"schema":"https://github.com/citation-style-language/schema/raw/master/csl-citation.json"}</w:instrText>
      </w:r>
      <w:r w:rsidRPr="00750CCB">
        <w:rPr>
          <w:rFonts w:ascii="Garamond" w:hAnsi="Garamond"/>
        </w:rPr>
        <w:fldChar w:fldCharType="separate"/>
      </w:r>
      <w:r w:rsidRPr="00750CCB">
        <w:rPr>
          <w:rFonts w:ascii="Garamond" w:hAnsi="Garamond"/>
          <w:noProof/>
        </w:rPr>
        <w:t xml:space="preserve">Primanita Sholihah Rosmana et al., “Kesiapan Sekolah Dasar Dalam Menerapkan Kurikulum Prototipe Untuk Menciptakan Generasi Yang Kreatif Dan Inovatif,” </w:t>
      </w:r>
      <w:r w:rsidRPr="00750CCB">
        <w:rPr>
          <w:rFonts w:ascii="Garamond" w:hAnsi="Garamond"/>
          <w:i/>
          <w:noProof/>
        </w:rPr>
        <w:t>Equilibrium: Jurnal Pendidikan</w:t>
      </w:r>
      <w:r w:rsidRPr="00750CCB">
        <w:rPr>
          <w:rFonts w:ascii="Garamond" w:hAnsi="Garamond"/>
          <w:noProof/>
        </w:rPr>
        <w:t xml:space="preserve"> 10, no. 2 (2022): 175–84, https://doi.org/10.26618/equilibrium.v10i2.7262.</w:t>
      </w:r>
      <w:r w:rsidRPr="00750CCB">
        <w:rPr>
          <w:rFonts w:ascii="Garamond" w:hAnsi="Garamond"/>
        </w:rPr>
        <w:fldChar w:fldCharType="end"/>
      </w:r>
    </w:p>
  </w:footnote>
  <w:footnote w:id="10">
    <w:p w14:paraId="318D6967" w14:textId="21F870C2" w:rsidR="00692D69" w:rsidRPr="00750CCB" w:rsidRDefault="00692D69" w:rsidP="00750CCB">
      <w:pPr>
        <w:pStyle w:val="FootnoteText"/>
        <w:ind w:firstLine="709"/>
        <w:jc w:val="both"/>
        <w:rPr>
          <w:rFonts w:ascii="Garamond" w:hAnsi="Garamond"/>
        </w:rPr>
      </w:pPr>
      <w:r w:rsidRPr="00750CCB">
        <w:rPr>
          <w:rStyle w:val="FootnoteReference"/>
          <w:rFonts w:ascii="Garamond" w:hAnsi="Garamond"/>
        </w:rPr>
        <w:footnoteRef/>
      </w:r>
      <w:r w:rsidRPr="00750CCB">
        <w:rPr>
          <w:rFonts w:ascii="Garamond" w:hAnsi="Garamond"/>
        </w:rPr>
        <w:t xml:space="preserve"> </w:t>
      </w:r>
      <w:r w:rsidRPr="00750CCB">
        <w:rPr>
          <w:rFonts w:ascii="Garamond" w:hAnsi="Garamond"/>
        </w:rPr>
        <w:fldChar w:fldCharType="begin" w:fldLock="1"/>
      </w:r>
      <w:r w:rsidR="007F650D" w:rsidRPr="00750CCB">
        <w:rPr>
          <w:rFonts w:ascii="Garamond" w:hAnsi="Garamond"/>
        </w:rPr>
        <w:instrText>ADDIN CSL_CITATION {"citationItems":[{"id":"ITEM-1","itemData":{"author":[{"dropping-particle":"","family":"Amali","given":"Vika Rizky","non-dropping-particle":"","parse-names":false,"suffix":""}],"id":"ITEM-1","issued":{"date-parts":[["2023"]]},"publisher":"IAIN Kendari","title":"Manajemen sarana dan prasarana dalam mendukung implementasi kuriikulum merdeka di SMAN 1 Plemahan","type":"thesis"},"uris":["http://www.mendeley.com/documents/?uuid=4bf406b2-c253-4d11-80d5-f10c55730017","http://www.mendeley.com/documents/?uuid=65a107aa-7705-4946-8047-fe680f9c2c56","http://www.mendeley.com/documents/?uuid=4ee4f8b8-adcd-4a75-ad2d-3da83dc12537","http://www.mendeley.com/documents/?uuid=a4b65259-70c8-4a88-9580-ca958c2b70b3"]}],"mendeley":{"formattedCitation":"Vika Rizky Amali, “Manajemen Sarana Dan Prasarana Dalam Mendukung Implementasi Kuriikulum Merdeka Di SMAN 1 Plemahan” (IAIN Kendari, 2023).","plainTextFormattedCitation":"Vika Rizky Amali, “Manajemen Sarana Dan Prasarana Dalam Mendukung Implementasi Kuriikulum Merdeka Di SMAN 1 Plemahan” (IAIN Kendari, 2023).","previouslyFormattedCitation":"Vika Rizky Amali, “Manajemen Sarana Dan Prasarana Dalam Mendukung Implementasi Kuriikulum Merdeka Di SMAN 1 Plemahan” (IAIN Kendari, 2023)."},"properties":{"noteIndex":10},"schema":"https://github.com/citation-style-language/schema/raw/master/csl-citation.json"}</w:instrText>
      </w:r>
      <w:r w:rsidRPr="00750CCB">
        <w:rPr>
          <w:rFonts w:ascii="Garamond" w:hAnsi="Garamond"/>
        </w:rPr>
        <w:fldChar w:fldCharType="separate"/>
      </w:r>
      <w:r w:rsidRPr="00750CCB">
        <w:rPr>
          <w:rFonts w:ascii="Garamond" w:hAnsi="Garamond"/>
          <w:noProof/>
        </w:rPr>
        <w:t>Vika Rizky Amali, “Manajemen Sarana Dan Prasarana Dalam Mendukung Implementasi Kuriikulum Merdeka Di SMAN 1 Plemahan” (IAIN Kendari, 2023).</w:t>
      </w:r>
      <w:r w:rsidRPr="00750CCB">
        <w:rPr>
          <w:rFonts w:ascii="Garamond" w:hAnsi="Garamond"/>
        </w:rPr>
        <w:fldChar w:fldCharType="end"/>
      </w:r>
    </w:p>
  </w:footnote>
  <w:footnote w:id="11">
    <w:p w14:paraId="48455E12" w14:textId="1BF6D0C3" w:rsidR="00692D69" w:rsidRDefault="00692D69" w:rsidP="00750CCB">
      <w:pPr>
        <w:pStyle w:val="FootnoteText"/>
        <w:ind w:firstLine="709"/>
        <w:jc w:val="both"/>
      </w:pPr>
      <w:r w:rsidRPr="00750CCB">
        <w:rPr>
          <w:rStyle w:val="FootnoteReference"/>
          <w:rFonts w:ascii="Garamond" w:hAnsi="Garamond"/>
        </w:rPr>
        <w:footnoteRef/>
      </w:r>
      <w:r w:rsidRPr="00750CCB">
        <w:rPr>
          <w:rFonts w:ascii="Garamond" w:hAnsi="Garamond"/>
        </w:rPr>
        <w:t xml:space="preserve"> </w:t>
      </w:r>
      <w:r w:rsidRPr="00750CCB">
        <w:rPr>
          <w:rFonts w:ascii="Garamond" w:hAnsi="Garamond"/>
        </w:rPr>
        <w:fldChar w:fldCharType="begin" w:fldLock="1"/>
      </w:r>
      <w:r w:rsidR="007F650D" w:rsidRPr="00750CCB">
        <w:rPr>
          <w:rFonts w:ascii="Garamond" w:hAnsi="Garamond"/>
        </w:rPr>
        <w:instrText>ADDIN CSL_CITATION {"citationItems":[{"id":"ITEM-1","itemData":{"ISSN":"2798-463X","author":[{"dropping-particle":"","family":"Imrotin","given":"Imrotin","non-dropping-particle":"","parse-names":false,"suffix":""},{"dropping-particle":"","family":"Sari","given":"Ifit Novita","non-dropping-particle":"","parse-names":false,"suffix":""}],"container-title":"Jurnal Guru Indonesia","id":"ITEM-1","issue":"1","issued":{"date-parts":[["2022"]]},"page":"9-19","title":"Kesiapan Guru Bahasa Indonesia Sekolah Menengah Kejuruan (SMK) dalam Menghadapi Program Merdeka Belajar","type":"article-journal","volume":"2"},"uris":["http://www.mendeley.com/documents/?uuid=c4e431c2-88c2-44d5-adad-fdec91b5ed5f","http://www.mendeley.com/documents/?uuid=08bf3079-2ecb-4dc6-8dd6-d91a02db5216"]}],"mendeley":{"formattedCitation":"Imrotin Imrotin and Ifit Novita Sari, “Kesiapan Guru Bahasa Indonesia Sekolah Menengah Kejuruan (SMK) Dalam Menghadapi Program Merdeka Belajar,” &lt;i&gt;Jurnal Guru Indonesia&lt;/i&gt; 2, no. 1 (2022): 9–19.","plainTextFormattedCitation":"Imrotin Imrotin and Ifit Novita Sari, “Kesiapan Guru Bahasa Indonesia Sekolah Menengah Kejuruan (SMK) Dalam Menghadapi Program Merdeka Belajar,” Jurnal Guru Indonesia 2, no. 1 (2022): 9–19.","previouslyFormattedCitation":"Imrotin Imrotin and Ifit Novita Sari, “Kesiapan Guru Bahasa Indonesia Sekolah Menengah Kejuruan (SMK) Dalam Menghadapi Program Merdeka Belajar,” &lt;i&gt;Jurnal Guru Indonesia&lt;/i&gt; 2, no. 1 (2022): 9–19."},"properties":{"noteIndex":11},"schema":"https://github.com/citation-style-language/schema/raw/master/csl-citation.json"}</w:instrText>
      </w:r>
      <w:r w:rsidRPr="00750CCB">
        <w:rPr>
          <w:rFonts w:ascii="Garamond" w:hAnsi="Garamond"/>
        </w:rPr>
        <w:fldChar w:fldCharType="separate"/>
      </w:r>
      <w:r w:rsidRPr="00750CCB">
        <w:rPr>
          <w:rFonts w:ascii="Garamond" w:hAnsi="Garamond"/>
          <w:noProof/>
        </w:rPr>
        <w:t xml:space="preserve">Imrotin Imrotin and Ifit Novita Sari, “Kesiapan Guru Bahasa Indonesia Sekolah Menengah Kejuruan (SMK) Dalam Menghadapi Program Merdeka Belajar,” </w:t>
      </w:r>
      <w:r w:rsidRPr="00750CCB">
        <w:rPr>
          <w:rFonts w:ascii="Garamond" w:hAnsi="Garamond"/>
          <w:i/>
          <w:noProof/>
        </w:rPr>
        <w:t>Jurnal Guru Indonesia</w:t>
      </w:r>
      <w:r w:rsidRPr="00750CCB">
        <w:rPr>
          <w:rFonts w:ascii="Garamond" w:hAnsi="Garamond"/>
          <w:noProof/>
        </w:rPr>
        <w:t xml:space="preserve"> 2, no. 1 (2022): 9–19.</w:t>
      </w:r>
      <w:r w:rsidRPr="00750CCB">
        <w:rPr>
          <w:rFonts w:ascii="Garamond" w:hAnsi="Garamond"/>
        </w:rPr>
        <w:fldChar w:fldCharType="end"/>
      </w:r>
    </w:p>
  </w:footnote>
  <w:footnote w:id="12">
    <w:p w14:paraId="1BBDE3BC" w14:textId="706B42BB" w:rsidR="00692D69" w:rsidRPr="00750CCB" w:rsidRDefault="00692D69" w:rsidP="00750CCB">
      <w:pPr>
        <w:pStyle w:val="FootnoteText"/>
        <w:ind w:firstLine="709"/>
        <w:jc w:val="both"/>
        <w:rPr>
          <w:rFonts w:ascii="Garamond" w:hAnsi="Garamond"/>
        </w:rPr>
      </w:pPr>
      <w:r w:rsidRPr="00750CCB">
        <w:rPr>
          <w:rStyle w:val="FootnoteReference"/>
          <w:rFonts w:ascii="Garamond" w:hAnsi="Garamond"/>
        </w:rPr>
        <w:footnoteRef/>
      </w:r>
      <w:r w:rsidRPr="00750CCB">
        <w:rPr>
          <w:rFonts w:ascii="Garamond" w:hAnsi="Garamond"/>
        </w:rPr>
        <w:t xml:space="preserve"> </w:t>
      </w:r>
      <w:r w:rsidRPr="00750CCB">
        <w:rPr>
          <w:rFonts w:ascii="Garamond" w:hAnsi="Garamond"/>
        </w:rPr>
        <w:fldChar w:fldCharType="begin" w:fldLock="1"/>
      </w:r>
      <w:r w:rsidR="00ED6314" w:rsidRPr="00750CCB">
        <w:rPr>
          <w:rFonts w:ascii="Garamond" w:hAnsi="Garamond"/>
        </w:rPr>
        <w:instrText>ADDIN CSL_CITATION {"citationItems":[{"id":"ITEM-1","itemData":{"author":[{"dropping-particle":"","family":"Ghony","given":"M. Djunaidi","non-dropping-particle":"","parse-names":false,"suffix":""},{"dropping-particle":"","family":"Almanshur","given":"Fauzan","non-dropping-particle":"","parse-names":false,"suffix":""}],"id":"ITEM-1","issued":{"date-parts":[["2012"]]},"publisher":"Ar-Ruzz Media","publisher-place":"Jakarta","title":"Metode penelitian kualitatif","type":"book"},"uris":["http://www.mendeley.com/documents/?uuid=66da2056-28af-4ec0-a0d3-5159bbcdddf7","http://www.mendeley.com/documents/?uuid=a0248c8c-e077-4eb0-b3c4-e9a7293ffdd8","http://www.mendeley.com/documents/?uuid=66b7ec4a-5cdf-4598-9d47-c62dfbca81a7","http://www.mendeley.com/documents/?uuid=96498324-d9a8-437b-a3da-5c74c585da9d"]}],"mendeley":{"formattedCitation":"M. Djunaidi Ghony and Fauzan Almanshur, &lt;i&gt;Metode Penelitian Kualitatif&lt;/i&gt; (Jakarta: Ar-Ruzz Media, 2012).","plainTextFormattedCitation":"M. Djunaidi Ghony and Fauzan Almanshur, Metode Penelitian Kualitatif (Jakarta: Ar-Ruzz Media, 2012).","previouslyFormattedCitation":"M. Djunaidi Ghony and Fauzan Almanshur, &lt;i&gt;Metode Penelitian Kualitatif&lt;/i&gt; (Jakarta: Ar-Ruzz Media, 2012)."},"properties":{"noteIndex":12},"schema":"https://github.com/citation-style-language/schema/raw/master/csl-citation.json"}</w:instrText>
      </w:r>
      <w:r w:rsidRPr="00750CCB">
        <w:rPr>
          <w:rFonts w:ascii="Garamond" w:hAnsi="Garamond"/>
        </w:rPr>
        <w:fldChar w:fldCharType="separate"/>
      </w:r>
      <w:r w:rsidRPr="00750CCB">
        <w:rPr>
          <w:rFonts w:ascii="Garamond" w:hAnsi="Garamond"/>
          <w:noProof/>
        </w:rPr>
        <w:t xml:space="preserve">M. Djunaidi Ghony and Fauzan Almanshur, </w:t>
      </w:r>
      <w:r w:rsidRPr="00750CCB">
        <w:rPr>
          <w:rFonts w:ascii="Garamond" w:hAnsi="Garamond"/>
          <w:i/>
          <w:noProof/>
        </w:rPr>
        <w:t>Metode Penelitian Kualitatif</w:t>
      </w:r>
      <w:r w:rsidRPr="00750CCB">
        <w:rPr>
          <w:rFonts w:ascii="Garamond" w:hAnsi="Garamond"/>
          <w:noProof/>
        </w:rPr>
        <w:t xml:space="preserve"> (Jakarta: Ar-Ruzz Media, 2012).</w:t>
      </w:r>
      <w:r w:rsidRPr="00750CCB">
        <w:rPr>
          <w:rFonts w:ascii="Garamond" w:hAnsi="Garamond"/>
        </w:rPr>
        <w:fldChar w:fldCharType="end"/>
      </w:r>
    </w:p>
  </w:footnote>
  <w:footnote w:id="13">
    <w:p w14:paraId="40CDDAEF" w14:textId="55AA72BD" w:rsidR="00692D69" w:rsidRDefault="00692D69" w:rsidP="00750CCB">
      <w:pPr>
        <w:pStyle w:val="FootnoteText"/>
        <w:ind w:firstLine="709"/>
        <w:jc w:val="both"/>
      </w:pPr>
      <w:r w:rsidRPr="00750CCB">
        <w:rPr>
          <w:rStyle w:val="FootnoteReference"/>
          <w:rFonts w:ascii="Garamond" w:hAnsi="Garamond"/>
        </w:rPr>
        <w:footnoteRef/>
      </w:r>
      <w:r w:rsidRPr="00750CCB">
        <w:rPr>
          <w:rFonts w:ascii="Garamond" w:hAnsi="Garamond"/>
        </w:rPr>
        <w:t xml:space="preserve"> </w:t>
      </w:r>
      <w:r w:rsidRPr="00750CCB">
        <w:rPr>
          <w:rFonts w:ascii="Garamond" w:hAnsi="Garamond"/>
        </w:rPr>
        <w:fldChar w:fldCharType="begin" w:fldLock="1"/>
      </w:r>
      <w:r w:rsidR="00ED6314" w:rsidRPr="00750CCB">
        <w:rPr>
          <w:rFonts w:ascii="Garamond" w:hAnsi="Garamond"/>
        </w:rPr>
        <w:instrText>ADDIN CSL_CITATION {"citationItems":[{"id":"ITEM-1","itemData":{"author":[{"dropping-particle":"","family":"Sudjono","given":"Anas","non-dropping-particle":"","parse-names":false,"suffix":""}],"id":"ITEM-1","issued":{"date-parts":[["2005"]]},"publisher":"Raja Grafindo Persada","publisher-place":"Jakarta","title":"Pengantar statistik pendidikan","type":"book"},"uris":["http://www.mendeley.com/documents/?uuid=c3c365d2-4636-45ea-a51d-0699bafd8ece","http://www.mendeley.com/documents/?uuid=49873e59-aa1d-4a0e-b78d-80e056ec25b6","http://www.mendeley.com/documents/?uuid=3bb4c74a-e110-4ccc-8d90-cb4e764f6e7e","http://www.mendeley.com/documents/?uuid=08a96d12-1f1b-4032-a3d8-6e970911bfbe"]}],"mendeley":{"formattedCitation":"Anas Sudjono, &lt;i&gt;Pengantar Statistik Pendidikan&lt;/i&gt; (Jakarta: Raja Grafindo Persada, 2005).","plainTextFormattedCitation":"Anas Sudjono, Pengantar Statistik Pendidikan (Jakarta: Raja Grafindo Persada, 2005).","previouslyFormattedCitation":"Anas Sudjono, &lt;i&gt;Pengantar Statistik Pendidikan&lt;/i&gt; (Jakarta: Raja Grafindo Persada, 2005)."},"properties":{"noteIndex":13},"schema":"https://github.com/citation-style-language/schema/raw/master/csl-citation.json"}</w:instrText>
      </w:r>
      <w:r w:rsidRPr="00750CCB">
        <w:rPr>
          <w:rFonts w:ascii="Garamond" w:hAnsi="Garamond"/>
        </w:rPr>
        <w:fldChar w:fldCharType="separate"/>
      </w:r>
      <w:r w:rsidRPr="00750CCB">
        <w:rPr>
          <w:rFonts w:ascii="Garamond" w:hAnsi="Garamond"/>
          <w:noProof/>
        </w:rPr>
        <w:t xml:space="preserve">Anas Sudjono, </w:t>
      </w:r>
      <w:r w:rsidRPr="00750CCB">
        <w:rPr>
          <w:rFonts w:ascii="Garamond" w:hAnsi="Garamond"/>
          <w:i/>
          <w:noProof/>
        </w:rPr>
        <w:t>Pengantar Statistik Pendidikan</w:t>
      </w:r>
      <w:r w:rsidRPr="00750CCB">
        <w:rPr>
          <w:rFonts w:ascii="Garamond" w:hAnsi="Garamond"/>
          <w:noProof/>
        </w:rPr>
        <w:t xml:space="preserve"> (Jakarta: Raja Grafindo Persada, 2005).</w:t>
      </w:r>
      <w:r w:rsidRPr="00750CCB">
        <w:rPr>
          <w:rFonts w:ascii="Garamond" w:hAnsi="Garamond"/>
        </w:rPr>
        <w:fldChar w:fldCharType="end"/>
      </w:r>
    </w:p>
  </w:footnote>
  <w:footnote w:id="14">
    <w:p w14:paraId="58DF79E8" w14:textId="0A421D2D" w:rsidR="00692D69" w:rsidRPr="00750CCB" w:rsidRDefault="00692D69" w:rsidP="00750CCB">
      <w:pPr>
        <w:pStyle w:val="FootnoteText"/>
        <w:ind w:firstLine="709"/>
        <w:jc w:val="both"/>
        <w:rPr>
          <w:rFonts w:ascii="Garamond" w:hAnsi="Garamond"/>
        </w:rPr>
      </w:pPr>
      <w:r w:rsidRPr="00750CCB">
        <w:rPr>
          <w:rStyle w:val="FootnoteReference"/>
          <w:rFonts w:ascii="Garamond" w:hAnsi="Garamond"/>
        </w:rPr>
        <w:footnoteRef/>
      </w:r>
      <w:r w:rsidRPr="00750CCB">
        <w:rPr>
          <w:rFonts w:ascii="Garamond" w:hAnsi="Garamond"/>
        </w:rPr>
        <w:t xml:space="preserve"> </w:t>
      </w:r>
      <w:r w:rsidRPr="00750CCB">
        <w:rPr>
          <w:rFonts w:ascii="Garamond" w:hAnsi="Garamond"/>
        </w:rPr>
        <w:fldChar w:fldCharType="begin" w:fldLock="1"/>
      </w:r>
      <w:r w:rsidR="00ED6314" w:rsidRPr="00750CCB">
        <w:rPr>
          <w:rFonts w:ascii="Garamond" w:hAnsi="Garamond"/>
        </w:rPr>
        <w:instrText>ADDIN CSL_CITATION {"citationItems":[{"id":"ITEM-1","itemData":{"DOI":"10.31538/nzh.v6i3.4026","ISSN":"26148013","abstract":"In the digital era, formal education is not only about learning at school but also about learning and education outside of school. This condition has more or less directly affected the consideration of parents in choosing a school, especially in the digital era. This research is conducted using quantitative and qualitative analysis methods. The quantitative method is performed by analyzing the potential of the schools chosen by parents, while the qualitative method is to find out the opinions of parents in more depth in choosing schools for their children. TOPSIS (Technique for Order Preference by Similarity to Ideal Solution) analysis is performed which involves three experts in assessing good schools in the digital era. Three types of schools are used as research objects such as Islamic Boarding Schools, Public Schools, and Subsidized Schools. Some interesting findings related to considerations of parents in choosing a school are related to religious education for their children, access to education, and also the reason for the relatively expensive cost of Islamic-based schools. Therefore, parents tend to choose non-boarding public schools.","author":[{"dropping-particle":"","family":"Rokhman","given":"Mauhibur","non-dropping-particle":"","parse-names":false,"suffix":""},{"dropping-particle":"","family":"Usman","given":"Fadly","non-dropping-particle":"","parse-names":false,"suffix":""},{"dropping-particle":"","family":"Usman","given":"Fatimah","non-dropping-particle":"","parse-names":false,"suffix":""},{"dropping-particle":"","family":"Kassim","given":"Azman Bin Haji","non-dropping-particle":"","parse-names":false,"suffix":""},{"dropping-particle":"","family":"Muslihun","given":"","non-dropping-particle":"","parse-names":false,"suffix":""}],"container-title":"Nazhruna: Jurnal Pendidikan Islam","id":"ITEM-1","issue":"3","issued":{"date-parts":[["2023"]]},"page":"403-419","title":"Consideration of Parents in Choosing Islamic Schools in the Digital Era","type":"article-journal","volume":"6"},"uris":["http://www.mendeley.com/documents/?uuid=b01941d5-b6be-4e0b-abf5-5d9072ec5b1a","http://www.mendeley.com/documents/?uuid=fcd11f14-7164-49f4-8b36-471cb919adc2"]}],"mendeley":{"formattedCitation":"Mauhibur Rokhman et al., “Consideration of Parents in Choosing Islamic Schools in the Digital Era,” &lt;i&gt;Nazhruna: Jurnal Pendidikan Islam&lt;/i&gt; 6, no. 3 (2023): 403–19, https://doi.org/10.31538/nzh.v6i3.4026.","plainTextFormattedCitation":"Mauhibur Rokhman et al., “Consideration of Parents in Choosing Islamic Schools in the Digital Era,” Nazhruna: Jurnal Pendidikan Islam 6, no. 3 (2023): 403–19, https://doi.org/10.31538/nzh.v6i3.4026.","previouslyFormattedCitation":"Mauhibur Rokhman et al., “Consideration of Parents in Choosing Islamic Schools in the Digital Era,” &lt;i&gt;Nazhruna: Jurnal Pendidikan Islam&lt;/i&gt; 6, no. 3 (2023): 403–19, https://doi.org/10.31538/nzh.v6i3.4026."},"properties":{"noteIndex":14},"schema":"https://github.com/citation-style-language/schema/raw/master/csl-citation.json"}</w:instrText>
      </w:r>
      <w:r w:rsidRPr="00750CCB">
        <w:rPr>
          <w:rFonts w:ascii="Garamond" w:hAnsi="Garamond"/>
        </w:rPr>
        <w:fldChar w:fldCharType="separate"/>
      </w:r>
      <w:r w:rsidRPr="00750CCB">
        <w:rPr>
          <w:rFonts w:ascii="Garamond" w:hAnsi="Garamond"/>
          <w:noProof/>
        </w:rPr>
        <w:t xml:space="preserve">Mauhibur Rokhman et al., “Consideration of Parents in Choosing Islamic Schools in the Digital Era,” </w:t>
      </w:r>
      <w:r w:rsidRPr="00750CCB">
        <w:rPr>
          <w:rFonts w:ascii="Garamond" w:hAnsi="Garamond"/>
          <w:i/>
          <w:noProof/>
        </w:rPr>
        <w:t>Nazhruna: Jurnal Pendidikan Islam</w:t>
      </w:r>
      <w:r w:rsidRPr="00750CCB">
        <w:rPr>
          <w:rFonts w:ascii="Garamond" w:hAnsi="Garamond"/>
          <w:noProof/>
        </w:rPr>
        <w:t xml:space="preserve"> 6, no. 3 (2023): 403–19, https://doi.org/10.31538/nzh.v6i3.4026.</w:t>
      </w:r>
      <w:r w:rsidRPr="00750CCB">
        <w:rPr>
          <w:rFonts w:ascii="Garamond" w:hAnsi="Garamond"/>
        </w:rPr>
        <w:fldChar w:fldCharType="end"/>
      </w:r>
    </w:p>
  </w:footnote>
  <w:footnote w:id="15">
    <w:p w14:paraId="7957FBA8" w14:textId="712C4887" w:rsidR="00692D69" w:rsidRPr="00750CCB" w:rsidRDefault="00692D69" w:rsidP="00750CCB">
      <w:pPr>
        <w:pStyle w:val="FootnoteText"/>
        <w:ind w:firstLine="709"/>
        <w:jc w:val="both"/>
        <w:rPr>
          <w:rFonts w:ascii="Garamond" w:hAnsi="Garamond"/>
        </w:rPr>
      </w:pPr>
      <w:r w:rsidRPr="00750CCB">
        <w:rPr>
          <w:rStyle w:val="FootnoteReference"/>
          <w:rFonts w:ascii="Garamond" w:hAnsi="Garamond"/>
        </w:rPr>
        <w:footnoteRef/>
      </w:r>
      <w:r w:rsidRPr="00750CCB">
        <w:rPr>
          <w:rFonts w:ascii="Garamond" w:hAnsi="Garamond"/>
        </w:rPr>
        <w:t xml:space="preserve"> </w:t>
      </w:r>
      <w:r w:rsidRPr="00750CCB">
        <w:rPr>
          <w:rFonts w:ascii="Garamond" w:hAnsi="Garamond"/>
        </w:rPr>
        <w:fldChar w:fldCharType="begin" w:fldLock="1"/>
      </w:r>
      <w:r w:rsidR="00ED6314" w:rsidRPr="00750CCB">
        <w:rPr>
          <w:rFonts w:ascii="Garamond" w:hAnsi="Garamond"/>
        </w:rPr>
        <w:instrText>ADDIN CSL_CITATION {"citationItems":[{"id":"ITEM-1","itemData":{"DOI":"10.31538/nzh.v6i3.4209","ISSN":"26148013","abstract":"This article discusses the implementation of the Program Diniyah Formal (PDF) organized by four Islamic boarding schools in South Sulawesi, namely PDF Al-Junaidiyah in Bone Regency, PDF Asadiyah in Sengkang Regency, PDF Mangkoso in Barru Regency, and PDF Nahdatul Ulum in Maros Regency. This research is evaluative research using a discrepancy model. The purpose of this study is to examine whether there is a gap between the standards/criteria for implementing PDF and its actual implementation. The indicators used in this study are derived from the criteria for high school education set by the National Secondary School Accreditation Body (BAN-SM), which is divided into four aspects: graduate quality, learning process, teacher quality, and madrasah management. The instruments used include questionnaires, interview guidelines, and documentation guidelines. Based on the results, the evaluation of the quality of PDF graduates at Islamic boarding schools in South Sulawesi is classified as good. Meanwhile, the evaluation of the PDF learning process at Islamic boarding schools in South Sulawesi is classified as fair. Additionally, the evaluation of the quality of PDF teachers at Islamic boarding schools in South Sulawesi is classified as fair, while the evaluation of PDF madrasah management at these schools is also classified as fair.","author":[{"dropping-particle":"","family":"Kasmah","given":"","non-dropping-particle":"","parse-names":false,"suffix":""},{"dropping-particle":"","family":"Syam","given":"A. Sri Mardiyanti","non-dropping-particle":"","parse-names":false,"suffix":""},{"dropping-particle":"","family":"Tajuddin","given":"Mawaddah","non-dropping-particle":"","parse-names":false,"suffix":""},{"dropping-particle":"","family":"Hafid","given":"Abd","non-dropping-particle":"","parse-names":false,"suffix":""},{"dropping-particle":"","family":"Idrus","given":"L.","non-dropping-particle":"","parse-names":false,"suffix":""}],"container-title":"Nazhruna: Jurnal Pendidikan Islam","id":"ITEM-1","issue":"3","issued":{"date-parts":[["2023"]]},"page":"436-456","title":"Evaluating the Implementation of Formal Early Childhood Education in Pesantren in South Sulawesi","type":"article-journal","volume":"6"},"uris":["http://www.mendeley.com/documents/?uuid=120e9756-c7fb-4b19-9b63-e0236bddc115","http://www.mendeley.com/documents/?uuid=0a330ebf-674a-49d5-b7bc-a6f132b70b8f"]}],"mendeley":{"formattedCitation":"Kasmah et al., “Evaluating the Implementation of Formal Early Childhood Education in Pesantren in South Sulawesi,” &lt;i&gt;Nazhruna: Jurnal Pendidikan Islam&lt;/i&gt; 6, no. 3 (2023): 436–56, https://doi.org/10.31538/nzh.v6i3.4209.","plainTextFormattedCitation":"Kasmah et al., “Evaluating the Implementation of Formal Early Childhood Education in Pesantren in South Sulawesi,” Nazhruna: Jurnal Pendidikan Islam 6, no. 3 (2023): 436–56, https://doi.org/10.31538/nzh.v6i3.4209.","previouslyFormattedCitation":"Kasmah et al., “Evaluating the Implementation of Formal Early Childhood Education in Pesantren in South Sulawesi,” &lt;i&gt;Nazhruna: Jurnal Pendidikan Islam&lt;/i&gt; 6, no. 3 (2023): 436–56, https://doi.org/10.31538/nzh.v6i3.4209."},"properties":{"noteIndex":15},"schema":"https://github.com/citation-style-language/schema/raw/master/csl-citation.json"}</w:instrText>
      </w:r>
      <w:r w:rsidRPr="00750CCB">
        <w:rPr>
          <w:rFonts w:ascii="Garamond" w:hAnsi="Garamond"/>
        </w:rPr>
        <w:fldChar w:fldCharType="separate"/>
      </w:r>
      <w:r w:rsidRPr="00750CCB">
        <w:rPr>
          <w:rFonts w:ascii="Garamond" w:hAnsi="Garamond"/>
          <w:noProof/>
        </w:rPr>
        <w:t xml:space="preserve">Kasmah et al., “Evaluating the Implementation of Formal Early Childhood Education in Pesantren in South Sulawesi,” </w:t>
      </w:r>
      <w:r w:rsidRPr="00750CCB">
        <w:rPr>
          <w:rFonts w:ascii="Garamond" w:hAnsi="Garamond"/>
          <w:i/>
          <w:noProof/>
        </w:rPr>
        <w:t>Nazhruna: Jurnal Pendidikan Islam</w:t>
      </w:r>
      <w:r w:rsidRPr="00750CCB">
        <w:rPr>
          <w:rFonts w:ascii="Garamond" w:hAnsi="Garamond"/>
          <w:noProof/>
        </w:rPr>
        <w:t xml:space="preserve"> 6, no. 3 (2023): 436–56, https://doi.org/10.31538/nzh.v6i3.4209.</w:t>
      </w:r>
      <w:r w:rsidRPr="00750CCB">
        <w:rPr>
          <w:rFonts w:ascii="Garamond" w:hAnsi="Garamond"/>
        </w:rPr>
        <w:fldChar w:fldCharType="end"/>
      </w:r>
    </w:p>
  </w:footnote>
  <w:footnote w:id="16">
    <w:p w14:paraId="4324986B" w14:textId="02141D44" w:rsidR="00750CCB" w:rsidRDefault="00750CCB" w:rsidP="00750CCB">
      <w:pPr>
        <w:pStyle w:val="FootnoteText"/>
        <w:ind w:firstLine="709"/>
        <w:jc w:val="both"/>
      </w:pPr>
      <w:r w:rsidRPr="00750CCB">
        <w:rPr>
          <w:rStyle w:val="FootnoteReference"/>
          <w:rFonts w:ascii="Garamond" w:hAnsi="Garamond"/>
        </w:rPr>
        <w:footnoteRef/>
      </w:r>
      <w:r w:rsidRPr="00750CCB">
        <w:rPr>
          <w:rFonts w:ascii="Garamond" w:hAnsi="Garamond"/>
        </w:rPr>
        <w:t xml:space="preserve"> </w:t>
      </w:r>
      <w:r w:rsidRPr="00750CCB">
        <w:rPr>
          <w:rFonts w:ascii="Garamond" w:hAnsi="Garamond"/>
        </w:rPr>
        <w:fldChar w:fldCharType="begin" w:fldLock="1"/>
      </w:r>
      <w:r w:rsidRPr="00750CCB">
        <w:rPr>
          <w:rFonts w:ascii="Garamond" w:hAnsi="Garamond"/>
        </w:rPr>
        <w:instrText>ADDIN CSL_CITATION {"citationItems":[{"id":"ITEM-1","itemData":{"ISSN":"2621-9549","author":[{"dropping-particle":"","family":"Aziz","given":"Muhammad Bachtiar","non-dropping-particle":"","parse-names":false,"suffix":""},{"dropping-particle":"","family":"Dwiyama","given":"Fajri","non-dropping-particle":"","parse-names":false,"suffix":""}],"container-title":"Tarbawi: Jurnal Keilmuan Manajemen Pendidikan","id":"ITEM-1","issue":"01","issued":{"date-parts":[["2022"]]},"page":"139-146","title":"Implementation of assessments in mathematics teacher learning during the covid-19 pandemic: A case study","type":"article-journal","volume":"8"},"uris":["http://www.mendeley.com/documents/?uuid=c08d6dc6-04e8-4d32-833c-325e5d6e9428"]}],"mendeley":{"formattedCitation":"Muhammad Bachtiar Aziz and Fajri Dwiyama, “Implementation of Assessments in Mathematics Teacher Learning during the Covid-19 Pandemic: A Case Study,” &lt;i&gt;Tarbawi: Jurnal Keilmuan Manajemen Pendidikan&lt;/i&gt; 8, no. 01 (2022): 139–46.","plainTextFormattedCitation":"Muhammad Bachtiar Aziz and Fajri Dwiyama, “Implementation of Assessments in Mathematics Teacher Learning during the Covid-19 Pandemic: A Case Study,” Tarbawi: Jurnal Keilmuan Manajemen Pendidikan 8, no. 01 (2022): 139–46."},"properties":{"noteIndex":16},"schema":"https://github.com/citation-style-language/schema/raw/master/csl-citation.json"}</w:instrText>
      </w:r>
      <w:r w:rsidRPr="00750CCB">
        <w:rPr>
          <w:rFonts w:ascii="Garamond" w:hAnsi="Garamond"/>
        </w:rPr>
        <w:fldChar w:fldCharType="separate"/>
      </w:r>
      <w:r w:rsidRPr="00750CCB">
        <w:rPr>
          <w:rFonts w:ascii="Garamond" w:hAnsi="Garamond"/>
          <w:noProof/>
        </w:rPr>
        <w:t xml:space="preserve">Muhammad Bachtiar Aziz and Fajri Dwiyama, “Implementation of Assessments in Mathematics Teacher Learning during the Covid-19 Pandemic: A Case Study,” </w:t>
      </w:r>
      <w:r w:rsidRPr="00750CCB">
        <w:rPr>
          <w:rFonts w:ascii="Garamond" w:hAnsi="Garamond"/>
          <w:i/>
          <w:noProof/>
        </w:rPr>
        <w:t>Tarbawi: Jurnal Keilmuan Manajemen Pendidikan</w:t>
      </w:r>
      <w:r w:rsidRPr="00750CCB">
        <w:rPr>
          <w:rFonts w:ascii="Garamond" w:hAnsi="Garamond"/>
          <w:noProof/>
        </w:rPr>
        <w:t xml:space="preserve"> 8, no. 01 (2022): 139–46.</w:t>
      </w:r>
      <w:r w:rsidRPr="00750CCB">
        <w:rPr>
          <w:rFonts w:ascii="Garamond" w:hAnsi="Garamond"/>
        </w:rPr>
        <w:fldChar w:fldCharType="end"/>
      </w:r>
    </w:p>
  </w:footnote>
  <w:footnote w:id="17">
    <w:p w14:paraId="25456C97" w14:textId="31C98D3A" w:rsidR="00692D69" w:rsidRPr="00750CCB" w:rsidRDefault="00692D69" w:rsidP="00750CCB">
      <w:pPr>
        <w:pStyle w:val="FootnoteText"/>
        <w:ind w:firstLine="709"/>
        <w:jc w:val="both"/>
        <w:rPr>
          <w:rFonts w:ascii="Garamond" w:hAnsi="Garamond"/>
        </w:rPr>
      </w:pPr>
      <w:r w:rsidRPr="00750CCB">
        <w:rPr>
          <w:rStyle w:val="FootnoteReference"/>
          <w:rFonts w:ascii="Garamond" w:hAnsi="Garamond"/>
        </w:rPr>
        <w:footnoteRef/>
      </w:r>
      <w:r w:rsidRPr="00750CCB">
        <w:rPr>
          <w:rFonts w:ascii="Garamond" w:hAnsi="Garamond"/>
        </w:rPr>
        <w:t xml:space="preserve"> </w:t>
      </w:r>
      <w:r w:rsidRPr="00750CCB">
        <w:rPr>
          <w:rFonts w:ascii="Garamond" w:hAnsi="Garamond"/>
        </w:rPr>
        <w:fldChar w:fldCharType="begin" w:fldLock="1"/>
      </w:r>
      <w:r w:rsidR="00750CCB" w:rsidRPr="00750CCB">
        <w:rPr>
          <w:rFonts w:ascii="Garamond" w:hAnsi="Garamond"/>
        </w:rPr>
        <w:instrText>ADDIN CSL_CITATION {"citationItems":[{"id":"ITEM-1","itemData":{"ISSN":"2614-4905","author":[{"dropping-particle":"","family":"Soro","given":"Suharyanto H","non-dropping-particle":"","parse-names":false,"suffix":""},{"dropping-particle":"","family":"Budiman","given":"Kadar","non-dropping-particle":"","parse-names":false,"suffix":""},{"dropping-particle":"","family":"Suprihadi","given":"Dudi","non-dropping-particle":"","parse-names":false,"suffix":""},{"dropping-particle":"","family":"Ainiyah","given":"Nur","non-dropping-particle":"","parse-names":false,"suffix":""}],"container-title":"al-Afkar, Journal For Islamic Studies","id":"ITEM-1","issue":"2","issued":{"date-parts":[["2023"]]},"page":"291-303","title":"Implementasi Pengelolaan Sarana Prasarana Dalam Pemenuhan Standar Mutu Pendidikan Di Institut Perguruan Tinggi (IPI) Garut","type":"article-journal","volume":"6"},"uris":["http://www.mendeley.com/documents/?uuid=f696d6f9-3871-4302-8b9a-3a1e7816a9f1","http://www.mendeley.com/documents/?uuid=b781444c-8514-47d3-9446-4c5575931af2"]}],"mendeley":{"formattedCitation":"Suharyanto H Soro et al., “Implementasi Pengelolaan Sarana Prasarana Dalam Pemenuhan Standar Mutu Pendidikan Di Institut Perguruan Tinggi (IPI) Garut,” &lt;i&gt;Al-Afkar, Journal For Islamic Studies&lt;/i&gt; 6, no. 2 (2023): 291–303.","plainTextFormattedCitation":"Suharyanto H Soro et al., “Implementasi Pengelolaan Sarana Prasarana Dalam Pemenuhan Standar Mutu Pendidikan Di Institut Perguruan Tinggi (IPI) Garut,” Al-Afkar, Journal For Islamic Studies 6, no. 2 (2023): 291–303.","previouslyFormattedCitation":"Suharyanto H Soro et al., “Implementasi Pengelolaan Sarana Prasarana Dalam Pemenuhan Standar Mutu Pendidikan Di Institut Perguruan Tinggi (IPI) Garut,” &lt;i&gt;Al-Afkar, Journal For Islamic Studies&lt;/i&gt; 6, no. 2 (2023): 291–303."},"properties":{"noteIndex":17},"schema":"https://github.com/citation-style-language/schema/raw/master/csl-citation.json"}</w:instrText>
      </w:r>
      <w:r w:rsidRPr="00750CCB">
        <w:rPr>
          <w:rFonts w:ascii="Garamond" w:hAnsi="Garamond"/>
        </w:rPr>
        <w:fldChar w:fldCharType="separate"/>
      </w:r>
      <w:r w:rsidR="00ED6314" w:rsidRPr="00750CCB">
        <w:rPr>
          <w:rFonts w:ascii="Garamond" w:hAnsi="Garamond"/>
          <w:noProof/>
        </w:rPr>
        <w:t xml:space="preserve">Suharyanto H Soro et al., “Implementasi Pengelolaan Sarana Prasarana Dalam Pemenuhan Standar Mutu Pendidikan Di Institut Perguruan Tinggi (IPI) Garut,” </w:t>
      </w:r>
      <w:r w:rsidR="00ED6314" w:rsidRPr="00750CCB">
        <w:rPr>
          <w:rFonts w:ascii="Garamond" w:hAnsi="Garamond"/>
          <w:i/>
          <w:noProof/>
        </w:rPr>
        <w:t>Al-Afkar, Journal For Islamic Studies</w:t>
      </w:r>
      <w:r w:rsidR="00ED6314" w:rsidRPr="00750CCB">
        <w:rPr>
          <w:rFonts w:ascii="Garamond" w:hAnsi="Garamond"/>
          <w:noProof/>
        </w:rPr>
        <w:t xml:space="preserve"> 6, no. 2 (2023): 291–303.</w:t>
      </w:r>
      <w:r w:rsidRPr="00750CCB">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ACC8F" w14:textId="52CBE1AD" w:rsidR="00FB778F" w:rsidRPr="00FB778F" w:rsidRDefault="00FB778F" w:rsidP="002C58ED">
    <w:pPr>
      <w:snapToGrid w:val="0"/>
      <w:spacing w:after="0" w:line="240" w:lineRule="auto"/>
      <w:ind w:left="567" w:hanging="567"/>
      <w:rPr>
        <w:rFonts w:ascii="Bodoni MT" w:hAnsi="Bodoni MT" w:cs="Times New Roman"/>
        <w:b/>
        <w:sz w:val="20"/>
        <w:szCs w:val="20"/>
        <w:lang w:val="id-ID" w:eastAsia="ja-JP"/>
      </w:rPr>
    </w:pPr>
    <w:r w:rsidRPr="00C41406">
      <w:rPr>
        <w:rFonts w:ascii="Bodoni MT" w:hAnsi="Bodoni MT" w:cs="Times New Roman"/>
        <w:sz w:val="20"/>
        <w:szCs w:val="20"/>
      </w:rPr>
      <w:t xml:space="preserve">Title: </w:t>
    </w:r>
    <w:r w:rsidR="002C58ED">
      <w:rPr>
        <w:rFonts w:ascii="Bodoni MT" w:hAnsi="Bodoni MT" w:cs="Times New Roman"/>
        <w:sz w:val="20"/>
        <w:szCs w:val="20"/>
      </w:rPr>
      <w:t xml:space="preserve"> </w:t>
    </w:r>
    <w:r w:rsidRPr="00FB778F">
      <w:rPr>
        <w:rFonts w:ascii="Bodoni MT" w:hAnsi="Bodoni MT"/>
        <w:bCs/>
        <w:color w:val="000000"/>
        <w:sz w:val="20"/>
        <w:szCs w:val="20"/>
      </w:rPr>
      <w:t xml:space="preserve">Teacher Readiness In Implementing The Independent Learning Curriculum At Madrasah </w:t>
    </w:r>
    <w:r w:rsidR="002C58ED">
      <w:rPr>
        <w:rFonts w:ascii="Bodoni MT" w:hAnsi="Bodoni MT"/>
        <w:bCs/>
        <w:color w:val="000000"/>
        <w:sz w:val="20"/>
        <w:szCs w:val="20"/>
      </w:rPr>
      <w:t xml:space="preserve">  </w:t>
    </w:r>
    <w:r w:rsidRPr="00FB778F">
      <w:rPr>
        <w:rFonts w:ascii="Bodoni MT" w:hAnsi="Bodoni MT"/>
        <w:bCs/>
        <w:color w:val="000000"/>
        <w:sz w:val="20"/>
        <w:szCs w:val="20"/>
      </w:rPr>
      <w:t>Tsanawiyah</w:t>
    </w:r>
    <w:r w:rsidRPr="00FB778F">
      <w:rPr>
        <w:rFonts w:ascii="Bodoni MT" w:hAnsi="Bodoni MT"/>
        <w:b/>
        <w:color w:val="000000"/>
        <w:sz w:val="20"/>
        <w:szCs w:val="20"/>
      </w:rPr>
      <w:t xml:space="preserve"> </w:t>
    </w:r>
  </w:p>
  <w:p w14:paraId="4C7B0606" w14:textId="08C65568" w:rsidR="00FB778F" w:rsidRPr="00FB778F" w:rsidRDefault="00FB778F" w:rsidP="00FB778F">
    <w:pPr>
      <w:pStyle w:val="Header"/>
      <w:rPr>
        <w:rFonts w:ascii="Bodoni MT" w:hAnsi="Bodoni MT" w:cs="Times New Roman"/>
        <w:sz w:val="20"/>
        <w:szCs w:val="20"/>
        <w:lang w:val="id-ID"/>
      </w:rPr>
    </w:pPr>
  </w:p>
  <w:p w14:paraId="3A9158A1" w14:textId="77777777" w:rsidR="00FB778F" w:rsidRDefault="00FB7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605D"/>
    <w:multiLevelType w:val="hybridMultilevel"/>
    <w:tmpl w:val="CA5E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E51DB"/>
    <w:multiLevelType w:val="hybridMultilevel"/>
    <w:tmpl w:val="3CD879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41722E"/>
    <w:multiLevelType w:val="hybridMultilevel"/>
    <w:tmpl w:val="59964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B673F"/>
    <w:multiLevelType w:val="hybridMultilevel"/>
    <w:tmpl w:val="C542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71343"/>
    <w:multiLevelType w:val="hybridMultilevel"/>
    <w:tmpl w:val="E198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76BFB"/>
    <w:multiLevelType w:val="hybridMultilevel"/>
    <w:tmpl w:val="FC88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1617D"/>
    <w:multiLevelType w:val="hybridMultilevel"/>
    <w:tmpl w:val="39F25870"/>
    <w:lvl w:ilvl="0" w:tplc="D25CB9F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15:restartNumberingAfterBreak="0">
    <w:nsid w:val="145411CD"/>
    <w:multiLevelType w:val="hybridMultilevel"/>
    <w:tmpl w:val="AE2673E4"/>
    <w:lvl w:ilvl="0" w:tplc="A45CEE9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161E2A43"/>
    <w:multiLevelType w:val="hybridMultilevel"/>
    <w:tmpl w:val="1BA63608"/>
    <w:lvl w:ilvl="0" w:tplc="410E3896">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15:restartNumberingAfterBreak="0">
    <w:nsid w:val="18470793"/>
    <w:multiLevelType w:val="hybridMultilevel"/>
    <w:tmpl w:val="3B64C01C"/>
    <w:lvl w:ilvl="0" w:tplc="7966CC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1A020343"/>
    <w:multiLevelType w:val="hybridMultilevel"/>
    <w:tmpl w:val="F4D0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21AE37B7"/>
    <w:multiLevelType w:val="hybridMultilevel"/>
    <w:tmpl w:val="911A1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D7796"/>
    <w:multiLevelType w:val="hybridMultilevel"/>
    <w:tmpl w:val="638E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A2471"/>
    <w:multiLevelType w:val="hybridMultilevel"/>
    <w:tmpl w:val="F10E5B2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4F46ECD"/>
    <w:multiLevelType w:val="hybridMultilevel"/>
    <w:tmpl w:val="D5B8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74E41"/>
    <w:multiLevelType w:val="hybridMultilevel"/>
    <w:tmpl w:val="F3BC3AD6"/>
    <w:lvl w:ilvl="0" w:tplc="1C8C8B0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15:restartNumberingAfterBreak="0">
    <w:nsid w:val="29456495"/>
    <w:multiLevelType w:val="hybridMultilevel"/>
    <w:tmpl w:val="D4DEEDFA"/>
    <w:lvl w:ilvl="0" w:tplc="6F0EFDB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36412439"/>
    <w:multiLevelType w:val="hybridMultilevel"/>
    <w:tmpl w:val="2D04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03DC1"/>
    <w:multiLevelType w:val="hybridMultilevel"/>
    <w:tmpl w:val="C8C0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96270"/>
    <w:multiLevelType w:val="hybridMultilevel"/>
    <w:tmpl w:val="DC90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DD285D"/>
    <w:multiLevelType w:val="hybridMultilevel"/>
    <w:tmpl w:val="F7C270FE"/>
    <w:lvl w:ilvl="0" w:tplc="E2E4EA7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499B755F"/>
    <w:multiLevelType w:val="hybridMultilevel"/>
    <w:tmpl w:val="5498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D566BC"/>
    <w:multiLevelType w:val="hybridMultilevel"/>
    <w:tmpl w:val="4B9E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A62D4"/>
    <w:multiLevelType w:val="hybridMultilevel"/>
    <w:tmpl w:val="B4B2B2A8"/>
    <w:lvl w:ilvl="0" w:tplc="F2B241D4">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5" w15:restartNumberingAfterBreak="0">
    <w:nsid w:val="611F3991"/>
    <w:multiLevelType w:val="hybridMultilevel"/>
    <w:tmpl w:val="3088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05A9A"/>
    <w:multiLevelType w:val="hybridMultilevel"/>
    <w:tmpl w:val="F280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464C3B"/>
    <w:multiLevelType w:val="hybridMultilevel"/>
    <w:tmpl w:val="9EEC6168"/>
    <w:lvl w:ilvl="0" w:tplc="A2FAD31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B81492A"/>
    <w:multiLevelType w:val="hybridMultilevel"/>
    <w:tmpl w:val="D2C8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87484A"/>
    <w:multiLevelType w:val="hybridMultilevel"/>
    <w:tmpl w:val="7F1A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ED695A"/>
    <w:multiLevelType w:val="hybridMultilevel"/>
    <w:tmpl w:val="7A103930"/>
    <w:lvl w:ilvl="0" w:tplc="4BB60A88">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63035813">
    <w:abstractNumId w:val="14"/>
  </w:num>
  <w:num w:numId="2" w16cid:durableId="2021353289">
    <w:abstractNumId w:val="27"/>
  </w:num>
  <w:num w:numId="3" w16cid:durableId="1223710360">
    <w:abstractNumId w:val="7"/>
  </w:num>
  <w:num w:numId="4" w16cid:durableId="1433471022">
    <w:abstractNumId w:val="16"/>
  </w:num>
  <w:num w:numId="5" w16cid:durableId="221215007">
    <w:abstractNumId w:val="6"/>
  </w:num>
  <w:num w:numId="6" w16cid:durableId="45841653">
    <w:abstractNumId w:val="21"/>
  </w:num>
  <w:num w:numId="7" w16cid:durableId="1418139266">
    <w:abstractNumId w:val="8"/>
  </w:num>
  <w:num w:numId="8" w16cid:durableId="764768691">
    <w:abstractNumId w:val="9"/>
  </w:num>
  <w:num w:numId="9" w16cid:durableId="1617635241">
    <w:abstractNumId w:val="1"/>
  </w:num>
  <w:num w:numId="10" w16cid:durableId="1353611693">
    <w:abstractNumId w:val="10"/>
  </w:num>
  <w:num w:numId="11" w16cid:durableId="1169254824">
    <w:abstractNumId w:val="3"/>
  </w:num>
  <w:num w:numId="12" w16cid:durableId="1730379450">
    <w:abstractNumId w:val="20"/>
  </w:num>
  <w:num w:numId="13" w16cid:durableId="917178426">
    <w:abstractNumId w:val="2"/>
  </w:num>
  <w:num w:numId="14" w16cid:durableId="1624460398">
    <w:abstractNumId w:val="4"/>
  </w:num>
  <w:num w:numId="15" w16cid:durableId="834109277">
    <w:abstractNumId w:val="15"/>
  </w:num>
  <w:num w:numId="16" w16cid:durableId="1789857422">
    <w:abstractNumId w:val="26"/>
  </w:num>
  <w:num w:numId="17" w16cid:durableId="277100590">
    <w:abstractNumId w:val="23"/>
  </w:num>
  <w:num w:numId="18" w16cid:durableId="1385443380">
    <w:abstractNumId w:val="22"/>
  </w:num>
  <w:num w:numId="19" w16cid:durableId="1507866288">
    <w:abstractNumId w:val="12"/>
  </w:num>
  <w:num w:numId="20" w16cid:durableId="620959534">
    <w:abstractNumId w:val="30"/>
  </w:num>
  <w:num w:numId="21" w16cid:durableId="1955599049">
    <w:abstractNumId w:val="18"/>
  </w:num>
  <w:num w:numId="22" w16cid:durableId="1672445589">
    <w:abstractNumId w:val="5"/>
  </w:num>
  <w:num w:numId="23" w16cid:durableId="804129213">
    <w:abstractNumId w:val="0"/>
  </w:num>
  <w:num w:numId="24" w16cid:durableId="1392775119">
    <w:abstractNumId w:val="29"/>
  </w:num>
  <w:num w:numId="25" w16cid:durableId="508788255">
    <w:abstractNumId w:val="25"/>
  </w:num>
  <w:num w:numId="26" w16cid:durableId="491531667">
    <w:abstractNumId w:val="13"/>
  </w:num>
  <w:num w:numId="27" w16cid:durableId="1786074183">
    <w:abstractNumId w:val="19"/>
  </w:num>
  <w:num w:numId="28" w16cid:durableId="1669941923">
    <w:abstractNumId w:val="17"/>
  </w:num>
  <w:num w:numId="29" w16cid:durableId="1336959018">
    <w:abstractNumId w:val="24"/>
  </w:num>
  <w:num w:numId="30" w16cid:durableId="201289709">
    <w:abstractNumId w:val="28"/>
  </w:num>
  <w:num w:numId="31" w16cid:durableId="1978532462">
    <w:abstractNumId w:val="11"/>
  </w:num>
  <w:num w:numId="32" w16cid:durableId="15342268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1NLAwNbEwMzY1MLJU0lEKTi0uzszPAykwqQUAbKQVJywAAAA="/>
  </w:docVars>
  <w:rsids>
    <w:rsidRoot w:val="00633B9C"/>
    <w:rsid w:val="00003697"/>
    <w:rsid w:val="0000432E"/>
    <w:rsid w:val="000123CA"/>
    <w:rsid w:val="00017A5A"/>
    <w:rsid w:val="000225A1"/>
    <w:rsid w:val="00026E46"/>
    <w:rsid w:val="00037DF9"/>
    <w:rsid w:val="00044F66"/>
    <w:rsid w:val="0005321E"/>
    <w:rsid w:val="000744A1"/>
    <w:rsid w:val="00075E79"/>
    <w:rsid w:val="00081F7C"/>
    <w:rsid w:val="000919D2"/>
    <w:rsid w:val="00091A41"/>
    <w:rsid w:val="000A1BF5"/>
    <w:rsid w:val="000A4A3B"/>
    <w:rsid w:val="000B04BA"/>
    <w:rsid w:val="000B54F5"/>
    <w:rsid w:val="000B63BF"/>
    <w:rsid w:val="000B7B8D"/>
    <w:rsid w:val="000C4D9C"/>
    <w:rsid w:val="000D250A"/>
    <w:rsid w:val="000F08C7"/>
    <w:rsid w:val="000F7326"/>
    <w:rsid w:val="00105AD8"/>
    <w:rsid w:val="00122FB4"/>
    <w:rsid w:val="00132381"/>
    <w:rsid w:val="00133888"/>
    <w:rsid w:val="00137A02"/>
    <w:rsid w:val="0014196B"/>
    <w:rsid w:val="00144547"/>
    <w:rsid w:val="0014737E"/>
    <w:rsid w:val="0015646E"/>
    <w:rsid w:val="00163FEB"/>
    <w:rsid w:val="0016578D"/>
    <w:rsid w:val="00170514"/>
    <w:rsid w:val="00194A56"/>
    <w:rsid w:val="0019654E"/>
    <w:rsid w:val="001A4435"/>
    <w:rsid w:val="001A6894"/>
    <w:rsid w:val="001B4898"/>
    <w:rsid w:val="001C35D7"/>
    <w:rsid w:val="001F2169"/>
    <w:rsid w:val="001F263D"/>
    <w:rsid w:val="001F2CBB"/>
    <w:rsid w:val="00201916"/>
    <w:rsid w:val="00202F7A"/>
    <w:rsid w:val="00211E43"/>
    <w:rsid w:val="00214C72"/>
    <w:rsid w:val="00221BF6"/>
    <w:rsid w:val="0023044D"/>
    <w:rsid w:val="0023089D"/>
    <w:rsid w:val="00231455"/>
    <w:rsid w:val="00235792"/>
    <w:rsid w:val="00236F12"/>
    <w:rsid w:val="0023715B"/>
    <w:rsid w:val="00240750"/>
    <w:rsid w:val="00244E0F"/>
    <w:rsid w:val="00245800"/>
    <w:rsid w:val="00246EEB"/>
    <w:rsid w:val="00270E73"/>
    <w:rsid w:val="00277CF6"/>
    <w:rsid w:val="00284EDC"/>
    <w:rsid w:val="0028785B"/>
    <w:rsid w:val="0029118D"/>
    <w:rsid w:val="00292405"/>
    <w:rsid w:val="002A2A90"/>
    <w:rsid w:val="002A2C73"/>
    <w:rsid w:val="002B3D86"/>
    <w:rsid w:val="002B513F"/>
    <w:rsid w:val="002B5DE0"/>
    <w:rsid w:val="002C58ED"/>
    <w:rsid w:val="002D1841"/>
    <w:rsid w:val="002D242C"/>
    <w:rsid w:val="002D2F1E"/>
    <w:rsid w:val="002E0A35"/>
    <w:rsid w:val="002F71A2"/>
    <w:rsid w:val="002F72E2"/>
    <w:rsid w:val="00311CEF"/>
    <w:rsid w:val="00313149"/>
    <w:rsid w:val="003215F9"/>
    <w:rsid w:val="00326490"/>
    <w:rsid w:val="003308C9"/>
    <w:rsid w:val="003473CA"/>
    <w:rsid w:val="00350637"/>
    <w:rsid w:val="00351AF2"/>
    <w:rsid w:val="00351B9A"/>
    <w:rsid w:val="00352425"/>
    <w:rsid w:val="003561BF"/>
    <w:rsid w:val="003600B5"/>
    <w:rsid w:val="0037473E"/>
    <w:rsid w:val="00377047"/>
    <w:rsid w:val="003818DE"/>
    <w:rsid w:val="003832D2"/>
    <w:rsid w:val="00390FDB"/>
    <w:rsid w:val="003957B8"/>
    <w:rsid w:val="0039742C"/>
    <w:rsid w:val="003A1C54"/>
    <w:rsid w:val="003A1DB3"/>
    <w:rsid w:val="003A222C"/>
    <w:rsid w:val="003B0A1A"/>
    <w:rsid w:val="003B24D6"/>
    <w:rsid w:val="003C01E1"/>
    <w:rsid w:val="003C0FD0"/>
    <w:rsid w:val="003C2719"/>
    <w:rsid w:val="003C7661"/>
    <w:rsid w:val="003D03D0"/>
    <w:rsid w:val="003E4A99"/>
    <w:rsid w:val="00400770"/>
    <w:rsid w:val="00411C7E"/>
    <w:rsid w:val="004203C1"/>
    <w:rsid w:val="0042121B"/>
    <w:rsid w:val="004268D2"/>
    <w:rsid w:val="00431049"/>
    <w:rsid w:val="00434765"/>
    <w:rsid w:val="00444D4E"/>
    <w:rsid w:val="00447E9C"/>
    <w:rsid w:val="0045165F"/>
    <w:rsid w:val="00460F40"/>
    <w:rsid w:val="00467F0C"/>
    <w:rsid w:val="00482BE7"/>
    <w:rsid w:val="00483049"/>
    <w:rsid w:val="00485EB2"/>
    <w:rsid w:val="00486359"/>
    <w:rsid w:val="00490776"/>
    <w:rsid w:val="00491875"/>
    <w:rsid w:val="0049640F"/>
    <w:rsid w:val="00496DDA"/>
    <w:rsid w:val="004A5A7E"/>
    <w:rsid w:val="004B64E2"/>
    <w:rsid w:val="004E551C"/>
    <w:rsid w:val="004F375D"/>
    <w:rsid w:val="004F3A24"/>
    <w:rsid w:val="004F4697"/>
    <w:rsid w:val="004F5A46"/>
    <w:rsid w:val="005043BD"/>
    <w:rsid w:val="00507436"/>
    <w:rsid w:val="005154ED"/>
    <w:rsid w:val="00526CC8"/>
    <w:rsid w:val="00530231"/>
    <w:rsid w:val="00540D17"/>
    <w:rsid w:val="00553717"/>
    <w:rsid w:val="005559A3"/>
    <w:rsid w:val="005663B6"/>
    <w:rsid w:val="00566D5A"/>
    <w:rsid w:val="00571D20"/>
    <w:rsid w:val="00581B70"/>
    <w:rsid w:val="00582955"/>
    <w:rsid w:val="00585536"/>
    <w:rsid w:val="00585FCA"/>
    <w:rsid w:val="0059455B"/>
    <w:rsid w:val="005970B9"/>
    <w:rsid w:val="005A113F"/>
    <w:rsid w:val="005A2FBB"/>
    <w:rsid w:val="005B36BA"/>
    <w:rsid w:val="005D07FB"/>
    <w:rsid w:val="005D2ECE"/>
    <w:rsid w:val="005D4D69"/>
    <w:rsid w:val="005D58F2"/>
    <w:rsid w:val="005E7FBB"/>
    <w:rsid w:val="00614217"/>
    <w:rsid w:val="00617AFD"/>
    <w:rsid w:val="00621E1D"/>
    <w:rsid w:val="0062456B"/>
    <w:rsid w:val="00626F3B"/>
    <w:rsid w:val="006275E2"/>
    <w:rsid w:val="00633B9C"/>
    <w:rsid w:val="00636146"/>
    <w:rsid w:val="006452EA"/>
    <w:rsid w:val="006468A3"/>
    <w:rsid w:val="00647C2F"/>
    <w:rsid w:val="00653944"/>
    <w:rsid w:val="00655AF7"/>
    <w:rsid w:val="00656D6D"/>
    <w:rsid w:val="00657007"/>
    <w:rsid w:val="0066030E"/>
    <w:rsid w:val="00664682"/>
    <w:rsid w:val="00664B0F"/>
    <w:rsid w:val="006677D1"/>
    <w:rsid w:val="0067140A"/>
    <w:rsid w:val="00671EE8"/>
    <w:rsid w:val="00676D01"/>
    <w:rsid w:val="0068261C"/>
    <w:rsid w:val="0068469C"/>
    <w:rsid w:val="006868B9"/>
    <w:rsid w:val="00690FBE"/>
    <w:rsid w:val="00692D69"/>
    <w:rsid w:val="00693364"/>
    <w:rsid w:val="006936C1"/>
    <w:rsid w:val="006938F9"/>
    <w:rsid w:val="006C6173"/>
    <w:rsid w:val="006D0657"/>
    <w:rsid w:val="006D099F"/>
    <w:rsid w:val="006D09AC"/>
    <w:rsid w:val="006E0433"/>
    <w:rsid w:val="0070492C"/>
    <w:rsid w:val="0071050D"/>
    <w:rsid w:val="00714D45"/>
    <w:rsid w:val="00724ACB"/>
    <w:rsid w:val="00726D74"/>
    <w:rsid w:val="00727C78"/>
    <w:rsid w:val="0073283E"/>
    <w:rsid w:val="007411C9"/>
    <w:rsid w:val="00744537"/>
    <w:rsid w:val="00745A61"/>
    <w:rsid w:val="00746B4D"/>
    <w:rsid w:val="007475AA"/>
    <w:rsid w:val="00750CCB"/>
    <w:rsid w:val="007644AE"/>
    <w:rsid w:val="007765EE"/>
    <w:rsid w:val="00782B77"/>
    <w:rsid w:val="007869B7"/>
    <w:rsid w:val="007939B9"/>
    <w:rsid w:val="007B3607"/>
    <w:rsid w:val="007C2E68"/>
    <w:rsid w:val="007C2F1F"/>
    <w:rsid w:val="007C3E3E"/>
    <w:rsid w:val="007C7A89"/>
    <w:rsid w:val="007C7BA9"/>
    <w:rsid w:val="007D04D2"/>
    <w:rsid w:val="007D7599"/>
    <w:rsid w:val="007E11AD"/>
    <w:rsid w:val="007E5F5F"/>
    <w:rsid w:val="007F650D"/>
    <w:rsid w:val="00800076"/>
    <w:rsid w:val="00803640"/>
    <w:rsid w:val="008114FA"/>
    <w:rsid w:val="00816C48"/>
    <w:rsid w:val="00826BF4"/>
    <w:rsid w:val="00831DBA"/>
    <w:rsid w:val="00845DF6"/>
    <w:rsid w:val="00845E05"/>
    <w:rsid w:val="00846D67"/>
    <w:rsid w:val="00854A9C"/>
    <w:rsid w:val="00856ABB"/>
    <w:rsid w:val="00857143"/>
    <w:rsid w:val="00867E40"/>
    <w:rsid w:val="008768B0"/>
    <w:rsid w:val="00895D55"/>
    <w:rsid w:val="008A13BC"/>
    <w:rsid w:val="008A2F0B"/>
    <w:rsid w:val="008B7B46"/>
    <w:rsid w:val="008C2228"/>
    <w:rsid w:val="008C334D"/>
    <w:rsid w:val="008C6DF4"/>
    <w:rsid w:val="008E1A68"/>
    <w:rsid w:val="008E4F73"/>
    <w:rsid w:val="008E6CFE"/>
    <w:rsid w:val="008F290F"/>
    <w:rsid w:val="00911458"/>
    <w:rsid w:val="00916A9D"/>
    <w:rsid w:val="009205CF"/>
    <w:rsid w:val="0092105E"/>
    <w:rsid w:val="009355D8"/>
    <w:rsid w:val="00936AED"/>
    <w:rsid w:val="009432E1"/>
    <w:rsid w:val="00983C37"/>
    <w:rsid w:val="009865D5"/>
    <w:rsid w:val="009A40C5"/>
    <w:rsid w:val="009A4687"/>
    <w:rsid w:val="009B0A2E"/>
    <w:rsid w:val="009B120B"/>
    <w:rsid w:val="009B50B8"/>
    <w:rsid w:val="009B5290"/>
    <w:rsid w:val="009B6A8A"/>
    <w:rsid w:val="009C452E"/>
    <w:rsid w:val="009C5A15"/>
    <w:rsid w:val="009C68DD"/>
    <w:rsid w:val="009C771C"/>
    <w:rsid w:val="009E3AAA"/>
    <w:rsid w:val="00A03287"/>
    <w:rsid w:val="00A11C24"/>
    <w:rsid w:val="00A12017"/>
    <w:rsid w:val="00A15BA5"/>
    <w:rsid w:val="00A235CC"/>
    <w:rsid w:val="00A23786"/>
    <w:rsid w:val="00A2577C"/>
    <w:rsid w:val="00A3457B"/>
    <w:rsid w:val="00A36E90"/>
    <w:rsid w:val="00A4792E"/>
    <w:rsid w:val="00A54819"/>
    <w:rsid w:val="00A60C7C"/>
    <w:rsid w:val="00A63869"/>
    <w:rsid w:val="00A64F23"/>
    <w:rsid w:val="00A70F38"/>
    <w:rsid w:val="00A800B1"/>
    <w:rsid w:val="00A832E7"/>
    <w:rsid w:val="00A92ACA"/>
    <w:rsid w:val="00A93DB7"/>
    <w:rsid w:val="00A955EF"/>
    <w:rsid w:val="00AC36AD"/>
    <w:rsid w:val="00AD3185"/>
    <w:rsid w:val="00AD3216"/>
    <w:rsid w:val="00AD7CE2"/>
    <w:rsid w:val="00AE52A9"/>
    <w:rsid w:val="00AE559E"/>
    <w:rsid w:val="00B11D4C"/>
    <w:rsid w:val="00B133B4"/>
    <w:rsid w:val="00B13C61"/>
    <w:rsid w:val="00B20B23"/>
    <w:rsid w:val="00B21CA3"/>
    <w:rsid w:val="00B3616B"/>
    <w:rsid w:val="00B42B0D"/>
    <w:rsid w:val="00B47BCD"/>
    <w:rsid w:val="00B508F2"/>
    <w:rsid w:val="00B56DFB"/>
    <w:rsid w:val="00B56E6B"/>
    <w:rsid w:val="00B57BA9"/>
    <w:rsid w:val="00B60691"/>
    <w:rsid w:val="00B6313E"/>
    <w:rsid w:val="00B82DA1"/>
    <w:rsid w:val="00B92053"/>
    <w:rsid w:val="00BA2551"/>
    <w:rsid w:val="00BB20CE"/>
    <w:rsid w:val="00BB4BD7"/>
    <w:rsid w:val="00BC1518"/>
    <w:rsid w:val="00BC3233"/>
    <w:rsid w:val="00BC4E87"/>
    <w:rsid w:val="00BC537C"/>
    <w:rsid w:val="00BD1BF3"/>
    <w:rsid w:val="00BD46FB"/>
    <w:rsid w:val="00BE40D2"/>
    <w:rsid w:val="00BE6900"/>
    <w:rsid w:val="00BE6C9C"/>
    <w:rsid w:val="00C02BD6"/>
    <w:rsid w:val="00C041B9"/>
    <w:rsid w:val="00C124FE"/>
    <w:rsid w:val="00C24C87"/>
    <w:rsid w:val="00C35D7D"/>
    <w:rsid w:val="00C3759E"/>
    <w:rsid w:val="00C4038D"/>
    <w:rsid w:val="00C41406"/>
    <w:rsid w:val="00C6376F"/>
    <w:rsid w:val="00C67131"/>
    <w:rsid w:val="00C72C47"/>
    <w:rsid w:val="00C7570A"/>
    <w:rsid w:val="00C805BD"/>
    <w:rsid w:val="00C84763"/>
    <w:rsid w:val="00C86551"/>
    <w:rsid w:val="00CA19EA"/>
    <w:rsid w:val="00CB7342"/>
    <w:rsid w:val="00CB7CC9"/>
    <w:rsid w:val="00CC1411"/>
    <w:rsid w:val="00CC1700"/>
    <w:rsid w:val="00CD25F8"/>
    <w:rsid w:val="00CE1CA7"/>
    <w:rsid w:val="00CE4979"/>
    <w:rsid w:val="00D215D4"/>
    <w:rsid w:val="00D30C8A"/>
    <w:rsid w:val="00D350BE"/>
    <w:rsid w:val="00D470D9"/>
    <w:rsid w:val="00D504AF"/>
    <w:rsid w:val="00D61134"/>
    <w:rsid w:val="00D67091"/>
    <w:rsid w:val="00D81DE7"/>
    <w:rsid w:val="00D9305C"/>
    <w:rsid w:val="00DA34ED"/>
    <w:rsid w:val="00DB0593"/>
    <w:rsid w:val="00DB0C8C"/>
    <w:rsid w:val="00DB0FBD"/>
    <w:rsid w:val="00DB446A"/>
    <w:rsid w:val="00DD760B"/>
    <w:rsid w:val="00DE408C"/>
    <w:rsid w:val="00E00AC1"/>
    <w:rsid w:val="00E114AD"/>
    <w:rsid w:val="00E159C5"/>
    <w:rsid w:val="00E311F8"/>
    <w:rsid w:val="00E41DB9"/>
    <w:rsid w:val="00E4508E"/>
    <w:rsid w:val="00E52C57"/>
    <w:rsid w:val="00E54D84"/>
    <w:rsid w:val="00E641D7"/>
    <w:rsid w:val="00E663BD"/>
    <w:rsid w:val="00E70ED8"/>
    <w:rsid w:val="00E94FEE"/>
    <w:rsid w:val="00E96662"/>
    <w:rsid w:val="00EA3D01"/>
    <w:rsid w:val="00EA4661"/>
    <w:rsid w:val="00EA4D6A"/>
    <w:rsid w:val="00EB60D6"/>
    <w:rsid w:val="00EC10B4"/>
    <w:rsid w:val="00EC4287"/>
    <w:rsid w:val="00EC7DCC"/>
    <w:rsid w:val="00ED0030"/>
    <w:rsid w:val="00ED6314"/>
    <w:rsid w:val="00EE0840"/>
    <w:rsid w:val="00EE18B3"/>
    <w:rsid w:val="00EE1963"/>
    <w:rsid w:val="00EE3DD7"/>
    <w:rsid w:val="00EE3DEF"/>
    <w:rsid w:val="00EE4052"/>
    <w:rsid w:val="00EE4B04"/>
    <w:rsid w:val="00F00FB8"/>
    <w:rsid w:val="00F06534"/>
    <w:rsid w:val="00F24878"/>
    <w:rsid w:val="00F313B8"/>
    <w:rsid w:val="00F4305E"/>
    <w:rsid w:val="00F5003F"/>
    <w:rsid w:val="00F535A2"/>
    <w:rsid w:val="00F60F97"/>
    <w:rsid w:val="00F61DCC"/>
    <w:rsid w:val="00F643E9"/>
    <w:rsid w:val="00F67586"/>
    <w:rsid w:val="00F73F8E"/>
    <w:rsid w:val="00F80528"/>
    <w:rsid w:val="00F857FD"/>
    <w:rsid w:val="00F85E86"/>
    <w:rsid w:val="00F85F44"/>
    <w:rsid w:val="00F86C85"/>
    <w:rsid w:val="00F90845"/>
    <w:rsid w:val="00F94BFA"/>
    <w:rsid w:val="00FB44EA"/>
    <w:rsid w:val="00FB778F"/>
    <w:rsid w:val="00FC38EB"/>
    <w:rsid w:val="00FD49BD"/>
    <w:rsid w:val="00FE3AFE"/>
    <w:rsid w:val="00FF1F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36088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n-US" w:eastAsia="en-US"/>
    </w:rPr>
  </w:style>
  <w:style w:type="paragraph" w:styleId="Heading1">
    <w:name w:val="heading 1"/>
    <w:basedOn w:val="Normal"/>
    <w:next w:val="Normal"/>
    <w:link w:val="Heading1Char"/>
    <w:uiPriority w:val="9"/>
    <w:qFormat/>
    <w:rsid w:val="00C35D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arab"/>
    <w:basedOn w:val="Normal"/>
    <w:link w:val="ListParagraphChar"/>
    <w:uiPriority w:val="34"/>
    <w:qFormat/>
    <w:rsid w:val="00633B9C"/>
    <w:pPr>
      <w:ind w:left="720"/>
      <w:contextualSpacing/>
    </w:pPr>
  </w:style>
  <w:style w:type="table" w:styleId="TableGrid">
    <w:name w:val="Table Grid"/>
    <w:basedOn w:val="TableNormal"/>
    <w:uiPriority w:val="39"/>
    <w:rsid w:val="0042121B"/>
    <w:pPr>
      <w:spacing w:after="0" w:line="240" w:lineRule="auto"/>
    </w:pPr>
    <w:rPr>
      <w:rFont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3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3697"/>
    <w:rPr>
      <w:rFonts w:ascii="Tahoma" w:hAnsi="Tahoma" w:cs="Tahoma"/>
      <w:sz w:val="16"/>
      <w:szCs w:val="16"/>
    </w:rPr>
  </w:style>
  <w:style w:type="paragraph" w:styleId="FootnoteText">
    <w:name w:val="footnote text"/>
    <w:basedOn w:val="Normal"/>
    <w:link w:val="FootnoteTextChar"/>
    <w:uiPriority w:val="99"/>
    <w:semiHidden/>
    <w:unhideWhenUsed/>
    <w:rsid w:val="00236F1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36F12"/>
    <w:rPr>
      <w:rFonts w:cs="Times New Roman"/>
      <w:sz w:val="20"/>
      <w:szCs w:val="20"/>
    </w:rPr>
  </w:style>
  <w:style w:type="character" w:styleId="FootnoteReference">
    <w:name w:val="footnote reference"/>
    <w:basedOn w:val="DefaultParagraphFont"/>
    <w:uiPriority w:val="99"/>
    <w:unhideWhenUsed/>
    <w:rsid w:val="00236F12"/>
    <w:rPr>
      <w:rFonts w:cs="Times New Roman"/>
      <w:vertAlign w:val="superscript"/>
    </w:rPr>
  </w:style>
  <w:style w:type="table" w:styleId="LightShading-Accent3">
    <w:name w:val="Light Shading Accent 3"/>
    <w:basedOn w:val="TableNormal"/>
    <w:uiPriority w:val="60"/>
    <w:rsid w:val="001A6894"/>
    <w:pPr>
      <w:spacing w:after="0" w:line="240" w:lineRule="auto"/>
    </w:pPr>
    <w:rPr>
      <w:rFonts w:cs="Calibr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Calibr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Calibri"/>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6EED5" w:themeFill="accent3" w:themeFillTint="3F"/>
      </w:tcPr>
    </w:tblStylePr>
    <w:tblStylePr w:type="band1Horz">
      <w:rPr>
        <w:rFonts w:cs="Calibri"/>
      </w:rPr>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1A6894"/>
    <w:pPr>
      <w:spacing w:after="0" w:line="240" w:lineRule="auto"/>
    </w:pPr>
    <w:rPr>
      <w:rFonts w:cs="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37A0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37A02"/>
    <w:rPr>
      <w:rFonts w:cs="Arial"/>
      <w:lang w:val="en-US" w:eastAsia="en-US"/>
    </w:rPr>
  </w:style>
  <w:style w:type="paragraph" w:styleId="Footer">
    <w:name w:val="footer"/>
    <w:basedOn w:val="Normal"/>
    <w:link w:val="FooterChar"/>
    <w:uiPriority w:val="99"/>
    <w:unhideWhenUsed/>
    <w:rsid w:val="00137A0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37A02"/>
    <w:rPr>
      <w:rFonts w:cs="Arial"/>
      <w:lang w:val="en-US" w:eastAsia="en-US"/>
    </w:rPr>
  </w:style>
  <w:style w:type="paragraph" w:customStyle="1" w:styleId="01Judul">
    <w:name w:val="01. Judul"/>
    <w:basedOn w:val="Heading1"/>
    <w:link w:val="01JudulChar"/>
    <w:qFormat/>
    <w:rsid w:val="00C35D7D"/>
    <w:pPr>
      <w:spacing w:before="1000" w:after="400" w:line="240" w:lineRule="auto"/>
      <w:jc w:val="center"/>
    </w:pPr>
    <w:rPr>
      <w:rFonts w:ascii="Arno Pro" w:eastAsia="Times New Roman" w:hAnsi="Arno Pro" w:cs="Times New Roman"/>
      <w:bCs w:val="0"/>
      <w:color w:val="auto"/>
      <w:kern w:val="28"/>
    </w:rPr>
  </w:style>
  <w:style w:type="character" w:customStyle="1" w:styleId="01JudulChar">
    <w:name w:val="01. Judul Char"/>
    <w:link w:val="01Judul"/>
    <w:rsid w:val="00C35D7D"/>
    <w:rPr>
      <w:rFonts w:ascii="Arno Pro" w:hAnsi="Arno Pro" w:cs="Times New Roman"/>
      <w:b/>
      <w:kern w:val="28"/>
      <w:sz w:val="28"/>
      <w:szCs w:val="28"/>
      <w:lang w:val="en-US" w:eastAsia="en-US"/>
    </w:rPr>
  </w:style>
  <w:style w:type="character" w:customStyle="1" w:styleId="Heading1Char">
    <w:name w:val="Heading 1 Char"/>
    <w:basedOn w:val="DefaultParagraphFont"/>
    <w:link w:val="Heading1"/>
    <w:uiPriority w:val="9"/>
    <w:rsid w:val="00C35D7D"/>
    <w:rPr>
      <w:rFonts w:asciiTheme="majorHAnsi" w:eastAsiaTheme="majorEastAsia" w:hAnsiTheme="majorHAnsi" w:cstheme="majorBidi"/>
      <w:b/>
      <w:bCs/>
      <w:color w:val="365F91" w:themeColor="accent1" w:themeShade="BF"/>
      <w:sz w:val="28"/>
      <w:szCs w:val="28"/>
      <w:lang w:val="en-US" w:eastAsia="en-US"/>
    </w:rPr>
  </w:style>
  <w:style w:type="paragraph" w:customStyle="1" w:styleId="061IsiAbstrakIndoneia">
    <w:name w:val="06.1 Isi Abstrak Indoneia"/>
    <w:basedOn w:val="Normal"/>
    <w:link w:val="061IsiAbstrakIndoneiaChar"/>
    <w:qFormat/>
    <w:rsid w:val="001F2169"/>
    <w:pPr>
      <w:spacing w:after="120" w:line="240" w:lineRule="auto"/>
      <w:ind w:left="680" w:right="680"/>
      <w:jc w:val="both"/>
    </w:pPr>
    <w:rPr>
      <w:rFonts w:ascii="Arno Pro" w:hAnsi="Arno Pro" w:cs="Times New Roman"/>
      <w:color w:val="000000"/>
      <w:kern w:val="28"/>
      <w:sz w:val="24"/>
      <w:szCs w:val="24"/>
      <w:lang w:val="en-GB"/>
    </w:rPr>
  </w:style>
  <w:style w:type="character" w:customStyle="1" w:styleId="061IsiAbstrakIndoneiaChar">
    <w:name w:val="06.1 Isi Abstrak Indoneia Char"/>
    <w:link w:val="061IsiAbstrakIndoneia"/>
    <w:rsid w:val="001F2169"/>
    <w:rPr>
      <w:rFonts w:ascii="Arno Pro" w:hAnsi="Arno Pro" w:cs="Times New Roman"/>
      <w:color w:val="000000"/>
      <w:kern w:val="28"/>
      <w:sz w:val="24"/>
      <w:szCs w:val="24"/>
      <w:lang w:val="en-GB" w:eastAsia="en-US"/>
    </w:rPr>
  </w:style>
  <w:style w:type="character" w:styleId="Hyperlink">
    <w:name w:val="Hyperlink"/>
    <w:basedOn w:val="DefaultParagraphFont"/>
    <w:uiPriority w:val="99"/>
    <w:unhideWhenUsed/>
    <w:rsid w:val="00664682"/>
    <w:rPr>
      <w:color w:val="0000FF"/>
      <w:u w:val="single"/>
    </w:rPr>
  </w:style>
  <w:style w:type="character" w:customStyle="1" w:styleId="A2">
    <w:name w:val="A2"/>
    <w:uiPriority w:val="99"/>
    <w:rsid w:val="00D67091"/>
    <w:rPr>
      <w:b/>
      <w:bCs/>
      <w:color w:val="000000"/>
      <w:sz w:val="22"/>
      <w:szCs w:val="22"/>
    </w:rPr>
  </w:style>
  <w:style w:type="paragraph" w:styleId="Bibliography">
    <w:name w:val="Bibliography"/>
    <w:basedOn w:val="Normal"/>
    <w:next w:val="Normal"/>
    <w:uiPriority w:val="37"/>
    <w:unhideWhenUsed/>
    <w:rsid w:val="006275E2"/>
    <w:pPr>
      <w:spacing w:after="0" w:line="240" w:lineRule="auto"/>
      <w:ind w:left="720" w:hanging="720"/>
    </w:pPr>
  </w:style>
  <w:style w:type="character" w:styleId="EndnoteReference">
    <w:name w:val="endnote reference"/>
    <w:basedOn w:val="DefaultParagraphFont"/>
    <w:uiPriority w:val="99"/>
    <w:semiHidden/>
    <w:unhideWhenUsed/>
    <w:rsid w:val="00617AFD"/>
    <w:rPr>
      <w:vertAlign w:val="superscript"/>
    </w:rPr>
  </w:style>
  <w:style w:type="character" w:customStyle="1" w:styleId="ListParagraphChar">
    <w:name w:val="List Paragraph Char"/>
    <w:aliases w:val="Body of text Char,arab Char"/>
    <w:link w:val="ListParagraph"/>
    <w:uiPriority w:val="34"/>
    <w:locked/>
    <w:rsid w:val="00E159C5"/>
    <w:rPr>
      <w:rFonts w:cs="Arial"/>
      <w:lang w:val="en-US" w:eastAsia="en-US"/>
    </w:rPr>
  </w:style>
  <w:style w:type="character" w:customStyle="1" w:styleId="ShortAbstract">
    <w:name w:val="Short Abstract"/>
    <w:rsid w:val="00CD25F8"/>
    <w:rPr>
      <w:rFonts w:ascii="Times New Roman" w:eastAsia="Times New Roman" w:hAnsi="Times New Roman" w:cs="Times New Roman" w:hint="default"/>
      <w:sz w:val="20"/>
    </w:rPr>
  </w:style>
  <w:style w:type="paragraph" w:styleId="NormalWeb">
    <w:name w:val="Normal (Web)"/>
    <w:basedOn w:val="Normal"/>
    <w:uiPriority w:val="99"/>
    <w:semiHidden/>
    <w:unhideWhenUsed/>
    <w:rsid w:val="00CD25F8"/>
    <w:pPr>
      <w:spacing w:before="100" w:beforeAutospacing="1" w:after="100" w:afterAutospacing="1" w:line="240" w:lineRule="auto"/>
    </w:pPr>
    <w:rPr>
      <w:rFonts w:ascii="Times New Roman" w:hAnsi="Times New Roman" w:cs="Times New Roman"/>
      <w:sz w:val="24"/>
      <w:szCs w:val="24"/>
      <w:lang w:val="id-ID" w:eastAsia="id-ID"/>
    </w:rPr>
  </w:style>
  <w:style w:type="character" w:styleId="CommentReference">
    <w:name w:val="annotation reference"/>
    <w:basedOn w:val="DefaultParagraphFont"/>
    <w:uiPriority w:val="99"/>
    <w:semiHidden/>
    <w:unhideWhenUsed/>
    <w:rsid w:val="00EC10B4"/>
    <w:rPr>
      <w:sz w:val="16"/>
      <w:szCs w:val="16"/>
    </w:rPr>
  </w:style>
  <w:style w:type="paragraph" w:styleId="CommentText">
    <w:name w:val="annotation text"/>
    <w:basedOn w:val="Normal"/>
    <w:link w:val="CommentTextChar"/>
    <w:uiPriority w:val="99"/>
    <w:semiHidden/>
    <w:unhideWhenUsed/>
    <w:rsid w:val="00EC10B4"/>
    <w:pPr>
      <w:spacing w:line="240" w:lineRule="auto"/>
    </w:pPr>
    <w:rPr>
      <w:sz w:val="20"/>
      <w:szCs w:val="20"/>
    </w:rPr>
  </w:style>
  <w:style w:type="character" w:customStyle="1" w:styleId="CommentTextChar">
    <w:name w:val="Comment Text Char"/>
    <w:basedOn w:val="DefaultParagraphFont"/>
    <w:link w:val="CommentText"/>
    <w:uiPriority w:val="99"/>
    <w:semiHidden/>
    <w:rsid w:val="00EC10B4"/>
    <w:rPr>
      <w:rFonts w:cs="Arial"/>
      <w:sz w:val="20"/>
      <w:szCs w:val="20"/>
      <w:lang w:val="en-US" w:eastAsia="en-US"/>
    </w:rPr>
  </w:style>
  <w:style w:type="paragraph" w:styleId="CommentSubject">
    <w:name w:val="annotation subject"/>
    <w:basedOn w:val="CommentText"/>
    <w:next w:val="CommentText"/>
    <w:link w:val="CommentSubjectChar"/>
    <w:uiPriority w:val="99"/>
    <w:semiHidden/>
    <w:unhideWhenUsed/>
    <w:rsid w:val="00EC10B4"/>
    <w:rPr>
      <w:b/>
      <w:bCs/>
    </w:rPr>
  </w:style>
  <w:style w:type="character" w:customStyle="1" w:styleId="CommentSubjectChar">
    <w:name w:val="Comment Subject Char"/>
    <w:basedOn w:val="CommentTextChar"/>
    <w:link w:val="CommentSubject"/>
    <w:uiPriority w:val="99"/>
    <w:semiHidden/>
    <w:rsid w:val="00EC10B4"/>
    <w:rPr>
      <w:rFonts w:cs="Arial"/>
      <w:b/>
      <w:bCs/>
      <w:sz w:val="20"/>
      <w:szCs w:val="20"/>
      <w:lang w:val="en-US" w:eastAsia="en-US"/>
    </w:rPr>
  </w:style>
  <w:style w:type="character" w:customStyle="1" w:styleId="ts-alignment-element">
    <w:name w:val="ts-alignment-element"/>
    <w:basedOn w:val="DefaultParagraphFont"/>
    <w:rsid w:val="00AD7CE2"/>
  </w:style>
  <w:style w:type="paragraph" w:styleId="Revision">
    <w:name w:val="Revision"/>
    <w:hidden/>
    <w:uiPriority w:val="99"/>
    <w:semiHidden/>
    <w:rsid w:val="00F86C85"/>
    <w:pPr>
      <w:spacing w:after="0" w:line="240" w:lineRule="auto"/>
    </w:pPr>
    <w:rPr>
      <w:rFonts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756105">
      <w:bodyDiv w:val="1"/>
      <w:marLeft w:val="0"/>
      <w:marRight w:val="0"/>
      <w:marTop w:val="0"/>
      <w:marBottom w:val="0"/>
      <w:divBdr>
        <w:top w:val="none" w:sz="0" w:space="0" w:color="auto"/>
        <w:left w:val="none" w:sz="0" w:space="0" w:color="auto"/>
        <w:bottom w:val="none" w:sz="0" w:space="0" w:color="auto"/>
        <w:right w:val="none" w:sz="0" w:space="0" w:color="auto"/>
      </w:divBdr>
    </w:div>
    <w:div w:id="307631253">
      <w:bodyDiv w:val="1"/>
      <w:marLeft w:val="0"/>
      <w:marRight w:val="0"/>
      <w:marTop w:val="0"/>
      <w:marBottom w:val="0"/>
      <w:divBdr>
        <w:top w:val="none" w:sz="0" w:space="0" w:color="auto"/>
        <w:left w:val="none" w:sz="0" w:space="0" w:color="auto"/>
        <w:bottom w:val="none" w:sz="0" w:space="0" w:color="auto"/>
        <w:right w:val="none" w:sz="0" w:space="0" w:color="auto"/>
      </w:divBdr>
    </w:div>
    <w:div w:id="1475609468">
      <w:bodyDiv w:val="1"/>
      <w:marLeft w:val="0"/>
      <w:marRight w:val="0"/>
      <w:marTop w:val="0"/>
      <w:marBottom w:val="0"/>
      <w:divBdr>
        <w:top w:val="none" w:sz="0" w:space="0" w:color="auto"/>
        <w:left w:val="none" w:sz="0" w:space="0" w:color="auto"/>
        <w:bottom w:val="none" w:sz="0" w:space="0" w:color="auto"/>
        <w:right w:val="none" w:sz="0" w:space="0" w:color="auto"/>
      </w:divBdr>
    </w:div>
    <w:div w:id="1909074772">
      <w:bodyDiv w:val="1"/>
      <w:marLeft w:val="0"/>
      <w:marRight w:val="0"/>
      <w:marTop w:val="0"/>
      <w:marBottom w:val="0"/>
      <w:divBdr>
        <w:top w:val="none" w:sz="0" w:space="0" w:color="auto"/>
        <w:left w:val="none" w:sz="0" w:space="0" w:color="auto"/>
        <w:bottom w:val="none" w:sz="0" w:space="0" w:color="auto"/>
        <w:right w:val="none" w:sz="0" w:space="0" w:color="auto"/>
      </w:divBdr>
      <w:divsChild>
        <w:div w:id="399063023">
          <w:marLeft w:val="0"/>
          <w:marRight w:val="0"/>
          <w:marTop w:val="0"/>
          <w:marBottom w:val="0"/>
          <w:divBdr>
            <w:top w:val="none" w:sz="0" w:space="0" w:color="auto"/>
            <w:left w:val="none" w:sz="0" w:space="0" w:color="auto"/>
            <w:bottom w:val="none" w:sz="0" w:space="0" w:color="auto"/>
            <w:right w:val="none" w:sz="0" w:space="0" w:color="auto"/>
          </w:divBdr>
          <w:divsChild>
            <w:div w:id="1292786475">
              <w:marLeft w:val="0"/>
              <w:marRight w:val="0"/>
              <w:marTop w:val="0"/>
              <w:marBottom w:val="0"/>
              <w:divBdr>
                <w:top w:val="none" w:sz="0" w:space="0" w:color="auto"/>
                <w:left w:val="none" w:sz="0" w:space="0" w:color="auto"/>
                <w:bottom w:val="none" w:sz="0" w:space="0" w:color="auto"/>
                <w:right w:val="none" w:sz="0" w:space="0" w:color="auto"/>
              </w:divBdr>
              <w:divsChild>
                <w:div w:id="1047098575">
                  <w:marLeft w:val="0"/>
                  <w:marRight w:val="0"/>
                  <w:marTop w:val="0"/>
                  <w:marBottom w:val="0"/>
                  <w:divBdr>
                    <w:top w:val="none" w:sz="0" w:space="0" w:color="auto"/>
                    <w:left w:val="none" w:sz="0" w:space="0" w:color="auto"/>
                    <w:bottom w:val="none" w:sz="0" w:space="0" w:color="auto"/>
                    <w:right w:val="none" w:sz="0" w:space="0" w:color="auto"/>
                  </w:divBdr>
                  <w:divsChild>
                    <w:div w:id="1599605495">
                      <w:marLeft w:val="0"/>
                      <w:marRight w:val="0"/>
                      <w:marTop w:val="0"/>
                      <w:marBottom w:val="0"/>
                      <w:divBdr>
                        <w:top w:val="none" w:sz="0" w:space="0" w:color="auto"/>
                        <w:left w:val="none" w:sz="0" w:space="0" w:color="auto"/>
                        <w:bottom w:val="none" w:sz="0" w:space="0" w:color="auto"/>
                        <w:right w:val="none" w:sz="0" w:space="0" w:color="auto"/>
                      </w:divBdr>
                      <w:divsChild>
                        <w:div w:id="1428576618">
                          <w:marLeft w:val="0"/>
                          <w:marRight w:val="0"/>
                          <w:marTop w:val="0"/>
                          <w:marBottom w:val="0"/>
                          <w:divBdr>
                            <w:top w:val="none" w:sz="0" w:space="0" w:color="auto"/>
                            <w:left w:val="none" w:sz="0" w:space="0" w:color="auto"/>
                            <w:bottom w:val="none" w:sz="0" w:space="0" w:color="auto"/>
                            <w:right w:val="none" w:sz="0" w:space="0" w:color="auto"/>
                          </w:divBdr>
                          <w:divsChild>
                            <w:div w:id="530266919">
                              <w:marLeft w:val="0"/>
                              <w:marRight w:val="0"/>
                              <w:marTop w:val="0"/>
                              <w:marBottom w:val="0"/>
                              <w:divBdr>
                                <w:top w:val="none" w:sz="0" w:space="0" w:color="auto"/>
                                <w:left w:val="none" w:sz="0" w:space="0" w:color="auto"/>
                                <w:bottom w:val="none" w:sz="0" w:space="0" w:color="auto"/>
                                <w:right w:val="none" w:sz="0" w:space="0" w:color="auto"/>
                              </w:divBdr>
                              <w:divsChild>
                                <w:div w:id="622612136">
                                  <w:marLeft w:val="0"/>
                                  <w:marRight w:val="0"/>
                                  <w:marTop w:val="0"/>
                                  <w:marBottom w:val="0"/>
                                  <w:divBdr>
                                    <w:top w:val="none" w:sz="0" w:space="0" w:color="auto"/>
                                    <w:left w:val="none" w:sz="0" w:space="0" w:color="auto"/>
                                    <w:bottom w:val="none" w:sz="0" w:space="0" w:color="auto"/>
                                    <w:right w:val="none" w:sz="0" w:space="0" w:color="auto"/>
                                  </w:divBdr>
                                  <w:divsChild>
                                    <w:div w:id="2090345355">
                                      <w:marLeft w:val="0"/>
                                      <w:marRight w:val="0"/>
                                      <w:marTop w:val="0"/>
                                      <w:marBottom w:val="0"/>
                                      <w:divBdr>
                                        <w:top w:val="none" w:sz="0" w:space="0" w:color="auto"/>
                                        <w:left w:val="none" w:sz="0" w:space="0" w:color="auto"/>
                                        <w:bottom w:val="none" w:sz="0" w:space="0" w:color="auto"/>
                                        <w:right w:val="none" w:sz="0" w:space="0" w:color="auto"/>
                                      </w:divBdr>
                                      <w:divsChild>
                                        <w:div w:id="1663309629">
                                          <w:marLeft w:val="0"/>
                                          <w:marRight w:val="0"/>
                                          <w:marTop w:val="0"/>
                                          <w:marBottom w:val="0"/>
                                          <w:divBdr>
                                            <w:top w:val="none" w:sz="0" w:space="0" w:color="auto"/>
                                            <w:left w:val="none" w:sz="0" w:space="0" w:color="auto"/>
                                            <w:bottom w:val="none" w:sz="0" w:space="0" w:color="auto"/>
                                            <w:right w:val="none" w:sz="0" w:space="0" w:color="auto"/>
                                          </w:divBdr>
                                          <w:divsChild>
                                            <w:div w:id="156650941">
                                              <w:marLeft w:val="0"/>
                                              <w:marRight w:val="0"/>
                                              <w:marTop w:val="0"/>
                                              <w:marBottom w:val="0"/>
                                              <w:divBdr>
                                                <w:top w:val="none" w:sz="0" w:space="0" w:color="auto"/>
                                                <w:left w:val="none" w:sz="0" w:space="0" w:color="auto"/>
                                                <w:bottom w:val="none" w:sz="0" w:space="0" w:color="auto"/>
                                                <w:right w:val="none" w:sz="0" w:space="0" w:color="auto"/>
                                              </w:divBdr>
                                              <w:divsChild>
                                                <w:div w:id="1360929578">
                                                  <w:marLeft w:val="0"/>
                                                  <w:marRight w:val="0"/>
                                                  <w:marTop w:val="0"/>
                                                  <w:marBottom w:val="0"/>
                                                  <w:divBdr>
                                                    <w:top w:val="none" w:sz="0" w:space="0" w:color="auto"/>
                                                    <w:left w:val="none" w:sz="0" w:space="0" w:color="auto"/>
                                                    <w:bottom w:val="none" w:sz="0" w:space="0" w:color="auto"/>
                                                    <w:right w:val="none" w:sz="0" w:space="0" w:color="auto"/>
                                                  </w:divBdr>
                                                  <w:divsChild>
                                                    <w:div w:id="2114083168">
                                                      <w:marLeft w:val="0"/>
                                                      <w:marRight w:val="0"/>
                                                      <w:marTop w:val="0"/>
                                                      <w:marBottom w:val="0"/>
                                                      <w:divBdr>
                                                        <w:top w:val="none" w:sz="0" w:space="0" w:color="auto"/>
                                                        <w:left w:val="none" w:sz="0" w:space="0" w:color="auto"/>
                                                        <w:bottom w:val="none" w:sz="0" w:space="0" w:color="auto"/>
                                                        <w:right w:val="none" w:sz="0" w:space="0" w:color="auto"/>
                                                      </w:divBdr>
                                                      <w:divsChild>
                                                        <w:div w:id="1550725177">
                                                          <w:marLeft w:val="0"/>
                                                          <w:marRight w:val="0"/>
                                                          <w:marTop w:val="0"/>
                                                          <w:marBottom w:val="0"/>
                                                          <w:divBdr>
                                                            <w:top w:val="none" w:sz="0" w:space="0" w:color="auto"/>
                                                            <w:left w:val="none" w:sz="0" w:space="0" w:color="auto"/>
                                                            <w:bottom w:val="none" w:sz="0" w:space="0" w:color="auto"/>
                                                            <w:right w:val="none" w:sz="0" w:space="0" w:color="auto"/>
                                                          </w:divBdr>
                                                          <w:divsChild>
                                                            <w:div w:id="15642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3471136">
      <w:bodyDiv w:val="1"/>
      <w:marLeft w:val="0"/>
      <w:marRight w:val="0"/>
      <w:marTop w:val="0"/>
      <w:marBottom w:val="0"/>
      <w:divBdr>
        <w:top w:val="none" w:sz="0" w:space="0" w:color="auto"/>
        <w:left w:val="none" w:sz="0" w:space="0" w:color="auto"/>
        <w:bottom w:val="none" w:sz="0" w:space="0" w:color="auto"/>
        <w:right w:val="none" w:sz="0" w:space="0" w:color="auto"/>
      </w:divBdr>
    </w:div>
    <w:div w:id="2029519309">
      <w:bodyDiv w:val="1"/>
      <w:marLeft w:val="0"/>
      <w:marRight w:val="0"/>
      <w:marTop w:val="0"/>
      <w:marBottom w:val="0"/>
      <w:divBdr>
        <w:top w:val="none" w:sz="0" w:space="0" w:color="auto"/>
        <w:left w:val="none" w:sz="0" w:space="0" w:color="auto"/>
        <w:bottom w:val="none" w:sz="0" w:space="0" w:color="auto"/>
        <w:right w:val="none" w:sz="0" w:space="0" w:color="auto"/>
      </w:divBdr>
    </w:div>
    <w:div w:id="20858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6B9F0-2A89-4ABF-BD23-9A8E783F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5963</Words>
  <Characters>33992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2024-03-07T04:00:00Z</dcterms:created>
  <dcterms:modified xsi:type="dcterms:W3CDTF">2024-07-03T02:07:00Z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083a8dce5c69aa727e9362cc755ef605d928051049bdc45c5a7156c107e0befd</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Document_1">
    <vt:lpwstr>True</vt:lpwstr>
  </property>
  <property fmtid="{D5CDD505-2E9C-101B-9397-08002B2CF9AE}" pid="24" name="Mendeley Unique User Id_1">
    <vt:lpwstr>f46deede-212b-3377-880f-0d3df06a5c92</vt:lpwstr>
  </property>
  <property fmtid="{D5CDD505-2E9C-101B-9397-08002B2CF9AE}" pid="25" name="Mendeley Citation Style_1">
    <vt:lpwstr>http://www.zotero.org/styles/chicago-fullnote-bibliography</vt:lpwstr>
  </property>
</Properties>
</file>